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77D" w:rsidRPr="003F1467" w:rsidRDefault="003F1467" w:rsidP="003F1467">
      <w:pPr>
        <w:spacing w:after="0" w:line="240" w:lineRule="auto"/>
        <w:jc w:val="center"/>
        <w:rPr>
          <w:rFonts w:ascii="Simplified Arabic" w:eastAsia="Calibri" w:hAnsi="Simplified Arabic" w:cs="Simplified Arabic"/>
          <w:b/>
          <w:bCs/>
          <w:sz w:val="28"/>
          <w:szCs w:val="28"/>
          <w:u w:val="single"/>
          <w:rtl/>
          <w:lang w:bidi="ar-IQ"/>
        </w:rPr>
      </w:pPr>
      <w:r w:rsidRPr="003F1467">
        <w:rPr>
          <w:rFonts w:ascii="Simplified Arabic" w:eastAsia="Calibri" w:hAnsi="Simplified Arabic" w:cs="Simplified Arabic"/>
          <w:b/>
          <w:bCs/>
          <w:sz w:val="28"/>
          <w:szCs w:val="28"/>
          <w:u w:val="single"/>
          <w:rtl/>
          <w:lang w:bidi="ar-IQ"/>
        </w:rPr>
        <w:t>المدرسة البغداديّة</w:t>
      </w:r>
      <w:r w:rsidR="0016277D" w:rsidRPr="003F1467">
        <w:rPr>
          <w:rFonts w:ascii="Simplified Arabic" w:eastAsia="Calibri" w:hAnsi="Simplified Arabic" w:cs="Simplified Arabic"/>
          <w:b/>
          <w:bCs/>
          <w:sz w:val="28"/>
          <w:szCs w:val="28"/>
          <w:u w:val="single"/>
          <w:rtl/>
          <w:lang w:bidi="ar-IQ"/>
        </w:rPr>
        <w:t>:</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ابن كيسان 1:</w:t>
      </w:r>
    </w:p>
    <w:p w:rsidR="00BD365B" w:rsidRDefault="0012635D" w:rsidP="0012635D">
      <w:pPr>
        <w:jc w:val="both"/>
        <w:rPr>
          <w:rFonts w:ascii="Simplified Arabic" w:hAnsi="Simplified Arabic" w:cs="Simplified Arabic" w:hint="cs"/>
          <w:sz w:val="28"/>
          <w:szCs w:val="28"/>
          <w:rtl/>
          <w:lang w:bidi="ar-IQ"/>
        </w:rPr>
      </w:pPr>
      <w:r w:rsidRPr="0012635D">
        <w:rPr>
          <w:rFonts w:ascii="Simplified Arabic" w:hAnsi="Simplified Arabic" w:cs="Simplified Arabic"/>
          <w:b/>
          <w:bCs/>
          <w:sz w:val="28"/>
          <w:szCs w:val="28"/>
          <w:rtl/>
          <w:lang w:bidi="ar-IQ"/>
        </w:rPr>
        <w:t>هو أبو الحسن محمد بن أحمد بن كيسان، وسلكه بروكلمان وبعض كتاب التراجم في المدرسة البصرية، وهو يعد أول أئمة المدرسة البغدادية، فقد توفي سنة 299 للهجرة، وكان قد أخذ عن المبرد وثعلب وأتقن مذهبي البصريين والكوفيين في النحو، وكان أبو بكر بن مجاهد إمام القراء في عصره يقول: هو أنحى من ثعلب والمبرد، وصنف كتبا كثيرة منها: كتاب اختلاف البصريين والكوفيين, وكتاب الكافي في النحو, وكتاب التصاريف، وكتاب المختار في علل النحو في ثلاث مجلدات, وقد أشار إليه الزجاجي في الإيضاح، ولعله هو الذي عُني فيه بوضع احتجاجاته لآراء المدرسة الكوفية.</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 xml:space="preserve">وفي كلام الزجاجي عنه ما يدل على أنه كان يعنى بحدود النحو، فقد نقل عنه حد الاسم بقوله: "الأسماء: ما أبانت عن الأشخاص وتضمنت معانيها نحو: رجل وفرس", ثم قال: "ولابن كيسان في كتبه حدود للاسم غير هذا هي من جنس حدود النحويين، وحدّه في الكتاب المختار بمثل الحد الذي ذكرناه من كلام المنطقيين"1 يريد: حدهم له بقولهم: "الاسم: صوت موضوع دالّ باتفاق على معنى غير مقرون بزمان"2. ولعل في ذلك ما يدل على أن ابن كيسان كان يأخذ نفسه بثقافة منطقية عميقة، ويقول </w:t>
      </w:r>
      <w:proofErr w:type="spellStart"/>
      <w:r w:rsidRPr="0012635D">
        <w:rPr>
          <w:rFonts w:ascii="Simplified Arabic" w:hAnsi="Simplified Arabic" w:cs="Simplified Arabic"/>
          <w:b/>
          <w:bCs/>
          <w:sz w:val="28"/>
          <w:szCs w:val="28"/>
          <w:rtl/>
          <w:lang w:bidi="ar-IQ"/>
        </w:rPr>
        <w:t>مترجموه</w:t>
      </w:r>
      <w:proofErr w:type="spellEnd"/>
      <w:r w:rsidRPr="0012635D">
        <w:rPr>
          <w:rFonts w:ascii="Simplified Arabic" w:hAnsi="Simplified Arabic" w:cs="Simplified Arabic"/>
          <w:b/>
          <w:bCs/>
          <w:sz w:val="28"/>
          <w:szCs w:val="28"/>
          <w:rtl/>
          <w:lang w:bidi="ar-IQ"/>
        </w:rPr>
        <w:t>: إنه كان يمتاز بحدة خاطره وبعد غوصه وغرائب قياساته، ويضربون مثلا لذلك أنه سئل عن قراءة آية سورة طه: {إِنْ هَذَانِ لَسَاحِرَانِ} ما وجهها من الإعراب؟ فقال: نجعلها مبنية "أي: تلزم الألف في حالتي النصب والجر" فسئل عن علة بنائها فقال: لأن المفرد منها مبني وهو هذا, وكذلك الجمع هؤلاء مبني، فنجعلها مبنية مثلهما.</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 xml:space="preserve">ويقول </w:t>
      </w:r>
      <w:proofErr w:type="spellStart"/>
      <w:r w:rsidRPr="0012635D">
        <w:rPr>
          <w:rFonts w:ascii="Simplified Arabic" w:hAnsi="Simplified Arabic" w:cs="Simplified Arabic"/>
          <w:b/>
          <w:bCs/>
          <w:sz w:val="28"/>
          <w:szCs w:val="28"/>
          <w:rtl/>
          <w:lang w:bidi="ar-IQ"/>
        </w:rPr>
        <w:t>مترجموه</w:t>
      </w:r>
      <w:proofErr w:type="spellEnd"/>
      <w:r w:rsidRPr="0012635D">
        <w:rPr>
          <w:rFonts w:ascii="Simplified Arabic" w:hAnsi="Simplified Arabic" w:cs="Simplified Arabic"/>
          <w:b/>
          <w:bCs/>
          <w:sz w:val="28"/>
          <w:szCs w:val="28"/>
          <w:rtl/>
          <w:lang w:bidi="ar-IQ"/>
        </w:rPr>
        <w:t xml:space="preserve"> أيضا: إنه مزج النحوين: البصري والكوفي، فأخذ من كل واحد منهما ما غلب على ظنه صحته، واطرد له قياسه، وترك التعصب لأحد الفريقين على الآخر. وتدور له في كتب النحو آراء كثيرة، منها ما وافق فيه البصريين ومنها ما وافق فيه الكوفيين ومنها ما وصل إليه باجتهاده وبعد غوره، فمما وافق فيه البصريين ذهابهم إلى أن الناصب للمضارع بعد لام التعليل أن مضمرة مثل: جئت لأكرمك، وإنما قدروا بعدها أن لأنها قد تظهر في مثل قولك: جئت لأن أكرمك. ومع </w:t>
      </w:r>
      <w:proofErr w:type="spellStart"/>
      <w:r w:rsidRPr="0012635D">
        <w:rPr>
          <w:rFonts w:ascii="Simplified Arabic" w:hAnsi="Simplified Arabic" w:cs="Simplified Arabic"/>
          <w:b/>
          <w:bCs/>
          <w:sz w:val="28"/>
          <w:szCs w:val="28"/>
          <w:rtl/>
          <w:lang w:bidi="ar-IQ"/>
        </w:rPr>
        <w:lastRenderedPageBreak/>
        <w:t>ارتضائه</w:t>
      </w:r>
      <w:proofErr w:type="spellEnd"/>
      <w:r w:rsidRPr="0012635D">
        <w:rPr>
          <w:rFonts w:ascii="Simplified Arabic" w:hAnsi="Simplified Arabic" w:cs="Simplified Arabic"/>
          <w:b/>
          <w:bCs/>
          <w:sz w:val="28"/>
          <w:szCs w:val="28"/>
          <w:rtl/>
          <w:lang w:bidi="ar-IQ"/>
        </w:rPr>
        <w:t xml:space="preserve"> هذا الرأي البصري أضاف إليه أنه يجوز أن يكون الناصب بعد لام التعليل كي محذوفة لمجيئها أيضا في مثل قولك: جئت لكي أكرمك، ومعروف أن الكوفيين يذهبون إلى أن لام التعليل تنصب المضارع بنفسها دون حاجة إلى تقدير أن كما ذهب البصريون3. وكان يذهب مذهب المبرد وابن السراج تلميذه في أن العامل في التابع من النعت والتأكيد وعطف البيان هو العامل في المتبوع ينصبّ عليهما </w:t>
      </w:r>
      <w:proofErr w:type="spellStart"/>
      <w:r w:rsidRPr="0012635D">
        <w:rPr>
          <w:rFonts w:ascii="Simplified Arabic" w:hAnsi="Simplified Arabic" w:cs="Simplified Arabic"/>
          <w:b/>
          <w:bCs/>
          <w:sz w:val="28"/>
          <w:szCs w:val="28"/>
          <w:rtl/>
          <w:lang w:bidi="ar-IQ"/>
        </w:rPr>
        <w:t>انصبابة</w:t>
      </w:r>
      <w:proofErr w:type="spellEnd"/>
      <w:r w:rsidRPr="0012635D">
        <w:rPr>
          <w:rFonts w:ascii="Simplified Arabic" w:hAnsi="Simplified Arabic" w:cs="Simplified Arabic"/>
          <w:b/>
          <w:bCs/>
          <w:sz w:val="28"/>
          <w:szCs w:val="28"/>
          <w:rtl/>
          <w:lang w:bidi="ar-IQ"/>
        </w:rPr>
        <w:t xml:space="preserve"> واحدة، وكان الخليل وسيبويه والأخفش يذهبون إلى أن العامل فيها جميعا هو التبعية4. وكان يرى رأي الزجاج في أن الضمير</w:t>
      </w:r>
      <w:r>
        <w:rPr>
          <w:rFonts w:ascii="Simplified Arabic" w:hAnsi="Simplified Arabic" w:cs="Simplified Arabic" w:hint="cs"/>
          <w:b/>
          <w:bCs/>
          <w:sz w:val="28"/>
          <w:szCs w:val="28"/>
          <w:rtl/>
          <w:lang w:bidi="ar-IQ"/>
        </w:rPr>
        <w:t xml:space="preserve"> </w:t>
      </w:r>
      <w:r w:rsidRPr="0012635D">
        <w:rPr>
          <w:rFonts w:ascii="Simplified Arabic" w:hAnsi="Simplified Arabic" w:cs="Simplified Arabic"/>
          <w:b/>
          <w:bCs/>
          <w:sz w:val="28"/>
          <w:szCs w:val="28"/>
          <w:rtl/>
          <w:lang w:bidi="ar-IQ"/>
        </w:rPr>
        <w:t>من "هو وهي" الهاء فقط والواو والياء زائدتان لحذفهما في المثنى والجمع، بينما كان يرى بقية البصريين أن هو وهي جميعا أصلان1. وكان يتابع يونس في أن "إما" في مثل قولك: جاء إما زيد وإما عمرو ليست عاطفة، وإنما العطف بالواو التي قبلها2.</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 xml:space="preserve">ومما كان يوافق فيه الكوفيين جواز تقديم خبر "ما زال" عليها، فتقول: قائما ما زال زيد، بينما كان البصريون لا يجيزون مثل هذا التعبير3. وكان </w:t>
      </w:r>
      <w:proofErr w:type="spellStart"/>
      <w:r w:rsidRPr="0012635D">
        <w:rPr>
          <w:rFonts w:ascii="Simplified Arabic" w:hAnsi="Simplified Arabic" w:cs="Simplified Arabic"/>
          <w:b/>
          <w:bCs/>
          <w:sz w:val="28"/>
          <w:szCs w:val="28"/>
          <w:rtl/>
          <w:lang w:bidi="ar-IQ"/>
        </w:rPr>
        <w:t>يوافقهم</w:t>
      </w:r>
      <w:proofErr w:type="spellEnd"/>
      <w:r w:rsidRPr="0012635D">
        <w:rPr>
          <w:rFonts w:ascii="Simplified Arabic" w:hAnsi="Simplified Arabic" w:cs="Simplified Arabic"/>
          <w:b/>
          <w:bCs/>
          <w:sz w:val="28"/>
          <w:szCs w:val="28"/>
          <w:rtl/>
          <w:lang w:bidi="ar-IQ"/>
        </w:rPr>
        <w:t xml:space="preserve"> في أن "</w:t>
      </w:r>
      <w:proofErr w:type="spellStart"/>
      <w:r w:rsidRPr="0012635D">
        <w:rPr>
          <w:rFonts w:ascii="Simplified Arabic" w:hAnsi="Simplified Arabic" w:cs="Simplified Arabic"/>
          <w:b/>
          <w:bCs/>
          <w:sz w:val="28"/>
          <w:szCs w:val="28"/>
          <w:rtl/>
          <w:lang w:bidi="ar-IQ"/>
        </w:rPr>
        <w:t>إيا</w:t>
      </w:r>
      <w:proofErr w:type="spellEnd"/>
      <w:r w:rsidRPr="0012635D">
        <w:rPr>
          <w:rFonts w:ascii="Simplified Arabic" w:hAnsi="Simplified Arabic" w:cs="Simplified Arabic"/>
          <w:b/>
          <w:bCs/>
          <w:sz w:val="28"/>
          <w:szCs w:val="28"/>
          <w:rtl/>
          <w:lang w:bidi="ar-IQ"/>
        </w:rPr>
        <w:t>" عماد في "إياك وإياي وإياه وأخواتها" والضمير ما يتلوها، بينما ذهب الخليل وسيبويه والأخفش والمازني إلى أن الاسم المضمر هو "</w:t>
      </w:r>
      <w:proofErr w:type="spellStart"/>
      <w:r w:rsidRPr="0012635D">
        <w:rPr>
          <w:rFonts w:ascii="Simplified Arabic" w:hAnsi="Simplified Arabic" w:cs="Simplified Arabic"/>
          <w:b/>
          <w:bCs/>
          <w:sz w:val="28"/>
          <w:szCs w:val="28"/>
          <w:rtl/>
          <w:lang w:bidi="ar-IQ"/>
        </w:rPr>
        <w:t>إيا</w:t>
      </w:r>
      <w:proofErr w:type="spellEnd"/>
      <w:r w:rsidRPr="0012635D">
        <w:rPr>
          <w:rFonts w:ascii="Simplified Arabic" w:hAnsi="Simplified Arabic" w:cs="Simplified Arabic"/>
          <w:b/>
          <w:bCs/>
          <w:sz w:val="28"/>
          <w:szCs w:val="28"/>
          <w:rtl/>
          <w:lang w:bidi="ar-IQ"/>
        </w:rPr>
        <w:t>" وما بعده حرف يدل على أحوال المرجوع إليه من الخطاب والتكلم والغيبة4.</w:t>
      </w:r>
    </w:p>
    <w:p w:rsidR="0012635D" w:rsidRPr="0012635D" w:rsidRDefault="0012635D" w:rsidP="0012635D">
      <w:pPr>
        <w:jc w:val="both"/>
        <w:rPr>
          <w:rFonts w:ascii="Simplified Arabic" w:hAnsi="Simplified Arabic" w:cs="Simplified Arabic"/>
          <w:b/>
          <w:bCs/>
          <w:sz w:val="28"/>
          <w:szCs w:val="28"/>
          <w:rtl/>
          <w:lang w:bidi="ar-IQ"/>
        </w:rPr>
      </w:pPr>
      <w:proofErr w:type="spellStart"/>
      <w:r w:rsidRPr="0012635D">
        <w:rPr>
          <w:rFonts w:ascii="Simplified Arabic" w:hAnsi="Simplified Arabic" w:cs="Simplified Arabic"/>
          <w:b/>
          <w:bCs/>
          <w:sz w:val="28"/>
          <w:szCs w:val="28"/>
          <w:rtl/>
          <w:lang w:bidi="ar-IQ"/>
        </w:rPr>
        <w:t>ووافقهم</w:t>
      </w:r>
      <w:proofErr w:type="spellEnd"/>
      <w:r w:rsidRPr="0012635D">
        <w:rPr>
          <w:rFonts w:ascii="Simplified Arabic" w:hAnsi="Simplified Arabic" w:cs="Simplified Arabic"/>
          <w:b/>
          <w:bCs/>
          <w:sz w:val="28"/>
          <w:szCs w:val="28"/>
          <w:rtl/>
          <w:lang w:bidi="ar-IQ"/>
        </w:rPr>
        <w:t xml:space="preserve"> في أن الاسم المؤنث علما لرجل مثل طلحة يجوز أن يجمع جمع مذكر سالما فيقال: </w:t>
      </w:r>
      <w:proofErr w:type="spellStart"/>
      <w:r w:rsidRPr="0012635D">
        <w:rPr>
          <w:rFonts w:ascii="Simplified Arabic" w:hAnsi="Simplified Arabic" w:cs="Simplified Arabic"/>
          <w:b/>
          <w:bCs/>
          <w:sz w:val="28"/>
          <w:szCs w:val="28"/>
          <w:rtl/>
          <w:lang w:bidi="ar-IQ"/>
        </w:rPr>
        <w:t>طلحون</w:t>
      </w:r>
      <w:proofErr w:type="spellEnd"/>
      <w:r w:rsidRPr="0012635D">
        <w:rPr>
          <w:rFonts w:ascii="Simplified Arabic" w:hAnsi="Simplified Arabic" w:cs="Simplified Arabic"/>
          <w:b/>
          <w:bCs/>
          <w:sz w:val="28"/>
          <w:szCs w:val="28"/>
          <w:rtl/>
          <w:lang w:bidi="ar-IQ"/>
        </w:rPr>
        <w:t xml:space="preserve">، وكان الكوفيون يوجبون سكون عينه، بينما جوز فتحها قياسا على الجمع بالألف والتاء، إذ يقال: </w:t>
      </w:r>
      <w:proofErr w:type="spellStart"/>
      <w:r w:rsidRPr="0012635D">
        <w:rPr>
          <w:rFonts w:ascii="Simplified Arabic" w:hAnsi="Simplified Arabic" w:cs="Simplified Arabic"/>
          <w:b/>
          <w:bCs/>
          <w:sz w:val="28"/>
          <w:szCs w:val="28"/>
          <w:rtl/>
          <w:lang w:bidi="ar-IQ"/>
        </w:rPr>
        <w:t>طلحات</w:t>
      </w:r>
      <w:proofErr w:type="spellEnd"/>
      <w:r w:rsidRPr="0012635D">
        <w:rPr>
          <w:rFonts w:ascii="Simplified Arabic" w:hAnsi="Simplified Arabic" w:cs="Simplified Arabic"/>
          <w:b/>
          <w:bCs/>
          <w:sz w:val="28"/>
          <w:szCs w:val="28"/>
          <w:rtl/>
          <w:lang w:bidi="ar-IQ"/>
        </w:rPr>
        <w:t xml:space="preserve"> بفتح اللام وكان البصريون لا يجيزون جمع هذا العلم إلا جمع مؤنث سالما5. ومما وافقهم فيه جواز التوكيد بأكتع وأبصع وأبتع دون ذكر لكلمة جميع، فيقال: جاءوا أكتعون، واشترط البصريون سبق كلمة أجمع لها فلا يقال عندهم إلا: "جاءوا أجمعون أكتعون"، واستدل ابن كيسان والكوفيون بسماع مثل قول بعض الشعراء:</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تحملني الذلفاء حولا أكتعا6</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 xml:space="preserve">وكان يذهب مذهبهم في أن مثل ثلاث ورباع ممنوع من الصرف للعلمية والعدل، بينما ذهب البصريون إلى أن المانع الوصفية والعدل، بدليل وقوعه حالا في مثل: جاءني القوم مثنى7. ومنع </w:t>
      </w:r>
      <w:r w:rsidRPr="0012635D">
        <w:rPr>
          <w:rFonts w:ascii="Simplified Arabic" w:hAnsi="Simplified Arabic" w:cs="Simplified Arabic"/>
          <w:b/>
          <w:bCs/>
          <w:sz w:val="28"/>
          <w:szCs w:val="28"/>
          <w:rtl/>
          <w:lang w:bidi="ar-IQ"/>
        </w:rPr>
        <w:lastRenderedPageBreak/>
        <w:t xml:space="preserve">الفراء الفصل بين اسم إن وخبرها في مثل: "إن زيدا لأظن قائم, وإن زيدا لغير شك قائم, وإن زيدا لئن شاء الله قائم", واحتج لذلك ابن كيسان بقوله: إنما امتنع ذلك؛ لأنه كلام معترض به من إخبارك عن نفسك كيف وصفت الخبر عن زيد شكا كان عندك أو </w:t>
      </w:r>
      <w:proofErr w:type="spellStart"/>
      <w:r w:rsidRPr="0012635D">
        <w:rPr>
          <w:rFonts w:ascii="Simplified Arabic" w:hAnsi="Simplified Arabic" w:cs="Simplified Arabic"/>
          <w:b/>
          <w:bCs/>
          <w:sz w:val="28"/>
          <w:szCs w:val="28"/>
          <w:rtl/>
          <w:lang w:bidi="ar-IQ"/>
        </w:rPr>
        <w:t>يقينا،والتوكيد</w:t>
      </w:r>
      <w:proofErr w:type="spellEnd"/>
      <w:r w:rsidRPr="0012635D">
        <w:rPr>
          <w:rFonts w:ascii="Simplified Arabic" w:hAnsi="Simplified Arabic" w:cs="Simplified Arabic"/>
          <w:b/>
          <w:bCs/>
          <w:sz w:val="28"/>
          <w:szCs w:val="28"/>
          <w:rtl/>
          <w:lang w:bidi="ar-IQ"/>
        </w:rPr>
        <w:t xml:space="preserve"> إنما هو لخبر زيد لا لخبرك عن نفسك؛ لأن "إن" لا تتعلق بخبرك وهي متجاوزة إلى الخبر1.</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ولابن كيسان بجانب ذلك آراء اجتهادية كثيرة انفرد بها، فمن ذلك أنه كان يجوِّز تذكير الفعل مع المبتدأ المؤنث المجازي مثل: "الشمس طلع" لمجيء ذلك على لسان الشعراء في مثل:</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ولا أرض أبقل إبقالها</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كما جوز تذكير الفعل مع الفاعل المؤنث الحقيقي بدون فاصل لقول بعض الشعراء:</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تمنى ابنتاي أن يعيش أبوهما</w:t>
      </w:r>
    </w:p>
    <w:p w:rsidR="0012635D" w:rsidRPr="0012635D" w:rsidRDefault="0012635D" w:rsidP="0012635D">
      <w:pPr>
        <w:jc w:val="both"/>
        <w:rPr>
          <w:rFonts w:ascii="Simplified Arabic" w:hAnsi="Simplified Arabic" w:cs="Simplified Arabic"/>
          <w:b/>
          <w:bCs/>
          <w:sz w:val="28"/>
          <w:szCs w:val="28"/>
          <w:rtl/>
          <w:lang w:bidi="ar-IQ"/>
        </w:rPr>
      </w:pPr>
      <w:r w:rsidRPr="0012635D">
        <w:rPr>
          <w:rFonts w:ascii="Simplified Arabic" w:hAnsi="Simplified Arabic" w:cs="Simplified Arabic"/>
          <w:b/>
          <w:bCs/>
          <w:sz w:val="28"/>
          <w:szCs w:val="28"/>
          <w:rtl/>
          <w:lang w:bidi="ar-IQ"/>
        </w:rPr>
        <w:t xml:space="preserve">واستدل أيضا بأن سيبويه حكى عن بعض العرب: "قال فلانة"2. وكان يعتل بأن الحال سدت مسد الخبر في مثل: "كتابتي الشعر قائما" لشبهها بالظرف فكأنما قيل: كتابتي الشعر في حال قيام3. وذهب الجمهور إلى أن أمس بُنيت لتضمنها معنى لام التعريف، بينما ذهب ابن كيسان إلى أن علة بنائها تضمنها معنى الفعل الماضي، وأُعربت "غد" لأنها في معنى الفعل المستقبل وهو معرب4. وكان يذهب إلى جواز تقدم الحال على صاحبها المجرور, مستدلا بقوله تعالى: {وَمَا أَرْسَلْنَاكَ إِلَّا كَافَّةً لِلنَّاسِ} بينما كان سيبويه وكثير من البصريين يمنعون ذلك5. وذهب الجمهور في مثل: ما قام زيد ولكن عمرو إلى أن الواو هي العاطفة ولكن حرف ابتداء، بينما ذهب ابن كيسان إلى أن لكن هي العاطفة والواو زائدة6. ومنع الجمهور جمع مثل أحمر جمع مذكر سالما وكذلك جمع حمراء جمع مؤنث سالما ومثلهما سكران وسكرى، وجوز ذلك ابن كيسان، فيقال في رأيه: </w:t>
      </w:r>
      <w:proofErr w:type="spellStart"/>
      <w:r w:rsidRPr="0012635D">
        <w:rPr>
          <w:rFonts w:ascii="Simplified Arabic" w:hAnsi="Simplified Arabic" w:cs="Simplified Arabic"/>
          <w:b/>
          <w:bCs/>
          <w:sz w:val="28"/>
          <w:szCs w:val="28"/>
          <w:rtl/>
          <w:lang w:bidi="ar-IQ"/>
        </w:rPr>
        <w:t>أحمرون</w:t>
      </w:r>
      <w:proofErr w:type="spellEnd"/>
      <w:r w:rsidRPr="0012635D">
        <w:rPr>
          <w:rFonts w:ascii="Simplified Arabic" w:hAnsi="Simplified Arabic" w:cs="Simplified Arabic"/>
          <w:b/>
          <w:bCs/>
          <w:sz w:val="28"/>
          <w:szCs w:val="28"/>
          <w:rtl/>
          <w:lang w:bidi="ar-IQ"/>
        </w:rPr>
        <w:t xml:space="preserve"> وحمراوات وسكرانون وسكرايات7.</w:t>
      </w:r>
    </w:p>
    <w:p w:rsidR="0012635D" w:rsidRPr="003F1467" w:rsidRDefault="0012635D" w:rsidP="0012635D">
      <w:pPr>
        <w:jc w:val="both"/>
        <w:rPr>
          <w:rFonts w:ascii="Simplified Arabic" w:hAnsi="Simplified Arabic" w:cs="Simplified Arabic"/>
          <w:sz w:val="28"/>
          <w:szCs w:val="28"/>
          <w:lang w:bidi="ar-IQ"/>
        </w:rPr>
      </w:pPr>
      <w:r w:rsidRPr="0012635D">
        <w:rPr>
          <w:rFonts w:ascii="Simplified Arabic" w:hAnsi="Simplified Arabic" w:cs="Simplified Arabic"/>
          <w:b/>
          <w:bCs/>
          <w:sz w:val="28"/>
          <w:szCs w:val="28"/>
          <w:rtl/>
          <w:lang w:bidi="ar-IQ"/>
        </w:rPr>
        <w:t>ولعل في كل ما قدمنا ما يدل على براعة ابن كيسان وكيف ابتدأ المدرسة البغدادية، فهو يعكف على آراء الكوفيين والبصريين دارسا فاحصا، منتخبا لنفسه طائفة من الآراء البصرية وأخرى من الآراء الكوفية ومشتقا لنفسه آراء جديدة مبتكرة.</w:t>
      </w:r>
      <w:bookmarkStart w:id="0" w:name="_GoBack"/>
      <w:bookmarkEnd w:id="0"/>
    </w:p>
    <w:sectPr w:rsidR="0012635D" w:rsidRPr="003F1467"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B18" w:rsidRDefault="006D3B18">
      <w:pPr>
        <w:spacing w:after="0" w:line="240" w:lineRule="auto"/>
      </w:pPr>
      <w:r>
        <w:separator/>
      </w:r>
    </w:p>
  </w:endnote>
  <w:endnote w:type="continuationSeparator" w:id="0">
    <w:p w:rsidR="006D3B18" w:rsidRDefault="006D3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12635D" w:rsidRPr="0012635D">
          <w:rPr>
            <w:rFonts w:cs="Calibri"/>
            <w:noProof/>
            <w:lang w:val="ar-SA"/>
          </w:rPr>
          <w:t>1</w:t>
        </w:r>
        <w:r>
          <w:fldChar w:fldCharType="end"/>
        </w:r>
      </w:p>
    </w:sdtContent>
  </w:sdt>
  <w:p w:rsidR="0029483E" w:rsidRDefault="006D3B1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B18" w:rsidRDefault="006D3B18">
      <w:pPr>
        <w:spacing w:after="0" w:line="240" w:lineRule="auto"/>
      </w:pPr>
      <w:r>
        <w:separator/>
      </w:r>
    </w:p>
  </w:footnote>
  <w:footnote w:type="continuationSeparator" w:id="0">
    <w:p w:rsidR="006D3B18" w:rsidRDefault="006D3B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3F1467"/>
    <w:rsid w:val="004761D9"/>
    <w:rsid w:val="0067437E"/>
    <w:rsid w:val="006D3B18"/>
    <w:rsid w:val="00762E57"/>
    <w:rsid w:val="00983DBA"/>
    <w:rsid w:val="00BD365B"/>
    <w:rsid w:val="00C62AFD"/>
    <w:rsid w:val="00D460A5"/>
    <w:rsid w:val="00DC48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764</Words>
  <Characters>4359</Characters>
  <Application>Microsoft Office Word</Application>
  <DocSecurity>0</DocSecurity>
  <Lines>36</Lines>
  <Paragraphs>10</Paragraphs>
  <ScaleCrop>false</ScaleCrop>
  <Company>SACC - ANAS</Company>
  <LinksUpToDate>false</LinksUpToDate>
  <CharactersWithSpaces>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13</cp:revision>
  <dcterms:created xsi:type="dcterms:W3CDTF">2017-10-13T19:51:00Z</dcterms:created>
  <dcterms:modified xsi:type="dcterms:W3CDTF">2018-01-12T20:40:00Z</dcterms:modified>
</cp:coreProperties>
</file>