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2- أبو علي 1 الفارسي:</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 xml:space="preserve">هو الحسن بن أحمد بن عبد الغفار الفارسي أبا، أما أمه فعربية </w:t>
      </w:r>
      <w:proofErr w:type="spellStart"/>
      <w:r w:rsidRPr="007D1295">
        <w:rPr>
          <w:rFonts w:ascii="Simplified Arabic" w:hAnsi="Simplified Arabic" w:cs="Simplified Arabic"/>
          <w:b/>
          <w:bCs/>
          <w:sz w:val="28"/>
          <w:szCs w:val="28"/>
          <w:rtl/>
          <w:lang w:bidi="ar-IQ"/>
        </w:rPr>
        <w:t>سدوسية</w:t>
      </w:r>
      <w:proofErr w:type="spellEnd"/>
      <w:r w:rsidRPr="007D1295">
        <w:rPr>
          <w:rFonts w:ascii="Simplified Arabic" w:hAnsi="Simplified Arabic" w:cs="Simplified Arabic"/>
          <w:b/>
          <w:bCs/>
          <w:sz w:val="28"/>
          <w:szCs w:val="28"/>
          <w:rtl/>
          <w:lang w:bidi="ar-IQ"/>
        </w:rPr>
        <w:t xml:space="preserve"> من سدوس شيبان، ولد لها </w:t>
      </w:r>
      <w:proofErr w:type="spellStart"/>
      <w:r w:rsidRPr="007D1295">
        <w:rPr>
          <w:rFonts w:ascii="Simplified Arabic" w:hAnsi="Simplified Arabic" w:cs="Simplified Arabic"/>
          <w:b/>
          <w:bCs/>
          <w:sz w:val="28"/>
          <w:szCs w:val="28"/>
          <w:rtl/>
          <w:lang w:bidi="ar-IQ"/>
        </w:rPr>
        <w:t>بفسا</w:t>
      </w:r>
      <w:proofErr w:type="spellEnd"/>
      <w:r w:rsidRPr="007D1295">
        <w:rPr>
          <w:rFonts w:ascii="Simplified Arabic" w:hAnsi="Simplified Arabic" w:cs="Simplified Arabic"/>
          <w:b/>
          <w:bCs/>
          <w:sz w:val="28"/>
          <w:szCs w:val="28"/>
          <w:rtl/>
          <w:lang w:bidi="ar-IQ"/>
        </w:rPr>
        <w:t xml:space="preserve"> من أرض فارس بالقرب من شيراز حوالي سنة 288 للهجرة. وكان فطنا ذكيا فأكب على التعلم منذ نعومة أظفاره، وما تقبل سنة 307 حتى يرحل إلى بغداد، ويعكف على حلقات البصريين مثل ابن السراج والأخفش الصغير والزجاج وابن دريد </w:t>
      </w:r>
      <w:proofErr w:type="spellStart"/>
      <w:r w:rsidRPr="007D1295">
        <w:rPr>
          <w:rFonts w:ascii="Simplified Arabic" w:hAnsi="Simplified Arabic" w:cs="Simplified Arabic"/>
          <w:b/>
          <w:bCs/>
          <w:sz w:val="28"/>
          <w:szCs w:val="28"/>
          <w:rtl/>
          <w:lang w:bidi="ar-IQ"/>
        </w:rPr>
        <w:t>ونفطويه</w:t>
      </w:r>
      <w:proofErr w:type="spellEnd"/>
      <w:r w:rsidRPr="007D1295">
        <w:rPr>
          <w:rFonts w:ascii="Simplified Arabic" w:hAnsi="Simplified Arabic" w:cs="Simplified Arabic"/>
          <w:b/>
          <w:bCs/>
          <w:sz w:val="28"/>
          <w:szCs w:val="28"/>
          <w:rtl/>
          <w:lang w:bidi="ar-IQ"/>
        </w:rPr>
        <w:t xml:space="preserve"> ومبرمان، كما يعكف على حلقات البغداديين الأولين وخاصة حلقة ابن الخياط، وأكب على حلقة أبي بكر بن</w:t>
      </w:r>
      <w:r>
        <w:rPr>
          <w:rFonts w:ascii="Simplified Arabic" w:hAnsi="Simplified Arabic" w:cs="Simplified Arabic" w:hint="cs"/>
          <w:sz w:val="28"/>
          <w:szCs w:val="28"/>
          <w:rtl/>
          <w:lang w:bidi="ar-IQ"/>
        </w:rPr>
        <w:t xml:space="preserve"> </w:t>
      </w:r>
      <w:r w:rsidRPr="007D1295">
        <w:rPr>
          <w:rFonts w:ascii="Simplified Arabic" w:hAnsi="Simplified Arabic" w:cs="Simplified Arabic"/>
          <w:b/>
          <w:bCs/>
          <w:sz w:val="28"/>
          <w:szCs w:val="28"/>
          <w:rtl/>
          <w:lang w:bidi="ar-IQ"/>
        </w:rPr>
        <w:t xml:space="preserve">مجاهد تلميذ ثعلب وشيخ القراء في عصره. ولم يخالط الكوفيين والبغداديين والبصريين في حلقات من استظهروا مذاهبهم فحسب، فقد مضى يخالط سابقيهم في كتاباتهم متمثلا ما كتبه سيبويه وغير سيبويه من مصنفات مختلفة. ويظهر أنه اتسع بثقافته، فشملت كتابات المتكلمين، إذ يقول </w:t>
      </w:r>
      <w:proofErr w:type="spellStart"/>
      <w:r w:rsidRPr="007D1295">
        <w:rPr>
          <w:rFonts w:ascii="Simplified Arabic" w:hAnsi="Simplified Arabic" w:cs="Simplified Arabic"/>
          <w:b/>
          <w:bCs/>
          <w:sz w:val="28"/>
          <w:szCs w:val="28"/>
          <w:rtl/>
          <w:lang w:bidi="ar-IQ"/>
        </w:rPr>
        <w:t>مترجموه</w:t>
      </w:r>
      <w:proofErr w:type="spellEnd"/>
      <w:r w:rsidRPr="007D1295">
        <w:rPr>
          <w:rFonts w:ascii="Simplified Arabic" w:hAnsi="Simplified Arabic" w:cs="Simplified Arabic"/>
          <w:b/>
          <w:bCs/>
          <w:sz w:val="28"/>
          <w:szCs w:val="28"/>
          <w:rtl/>
          <w:lang w:bidi="ar-IQ"/>
        </w:rPr>
        <w:t>: إنه كان يعتنق مذهب المعتزلة، والاعتزال من قديم يجر إلى قراءة المنطق والفلسفة، وأغلب الظن أنه كان شيعيا؛ لغلبة التشيع حينئذ على أهل العراق وفارس.</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 xml:space="preserve">ونظن ظنا أنه قعد للتدريس والإملاء في مساجد بغداد مبكرا، وكان فيه حب للرحلة، فتنقل يملي ويدرس للطلاب في "عسكر مكرم" وبعض مدن الموصل، ويدخل حلب في سنة 341 ومعه تلميذه ابن جني الذي شُغف به حبا، ويتحول إلى بعض مدن الشام، ويعود إلى بغداد سنة 346 وتطير شهرته، فيستدعيه إلى شيراز عضد الدولة البويهي، ويأخذ عنه هو وبعض أفراد أسرته، ويفتخر عضد الدولة بذلك حتى ليقول: إنه غلامه. ويظل عنده، حتى إذا دخلت بغداد في حوزته عاد إليها ثانية وظل بها إلى وفاته سنة 377 للهجرة. واتبع عادة هي أن ينسب إملاءاته في كل بلدة إليها، وهي نسبة تعين رحلاته وأماكن دراساته، فمن ذلك المسائل العسكرية نسبة إلى عسكر مكرم، والمسائل القصرية نسبة إلى "قصر ابن هبيرة" بنواحي الكوفة، والمسائل الحلبية، والمسائل الدمشقية, والمسائل البصرية, والمسائل البغدادية, والمسائل </w:t>
      </w:r>
      <w:proofErr w:type="spellStart"/>
      <w:r w:rsidRPr="007D1295">
        <w:rPr>
          <w:rFonts w:ascii="Simplified Arabic" w:hAnsi="Simplified Arabic" w:cs="Simplified Arabic"/>
          <w:b/>
          <w:bCs/>
          <w:sz w:val="28"/>
          <w:szCs w:val="28"/>
          <w:rtl/>
          <w:lang w:bidi="ar-IQ"/>
        </w:rPr>
        <w:t>الكرمانية</w:t>
      </w:r>
      <w:proofErr w:type="spellEnd"/>
      <w:r w:rsidRPr="007D1295">
        <w:rPr>
          <w:rFonts w:ascii="Simplified Arabic" w:hAnsi="Simplified Arabic" w:cs="Simplified Arabic"/>
          <w:b/>
          <w:bCs/>
          <w:sz w:val="28"/>
          <w:szCs w:val="28"/>
          <w:rtl/>
          <w:lang w:bidi="ar-IQ"/>
        </w:rPr>
        <w:t xml:space="preserve"> نسبة إلى كرمان في إيران, والمسائل الشيرازية. ومن مصنفاته: الإيضاح والتكملة والعوامل المائة والمقصور والممدود، ومن أهمها كتاب الحجة في القراءات السبع، وفيه يحتج لكل قراءة من تلك القراءات من اللغة والشعر, </w:t>
      </w:r>
      <w:r w:rsidRPr="007D1295">
        <w:rPr>
          <w:rFonts w:ascii="Simplified Arabic" w:hAnsi="Simplified Arabic" w:cs="Simplified Arabic"/>
          <w:b/>
          <w:bCs/>
          <w:sz w:val="28"/>
          <w:szCs w:val="28"/>
          <w:rtl/>
          <w:lang w:bidi="ar-IQ"/>
        </w:rPr>
        <w:lastRenderedPageBreak/>
        <w:t>ناثرا آراء النحاة البصريين والكوفيين، منتصرا تارة للأولين وتارة للأخيرين مع نزعة قوية فيه إلى الأخذ بالآراء البصرية مما جعل الزبيدي في طبقاته وابن النديم في فهرسته يسلكانه في البصريين، ويقول أبو حيان فيه: "أبو علي أشد تفردا بالكتاب "كتاب سيبويه" وأشد إكبابا عليه وأبعد من كل ما عداه من علم الكوفيين"1. وسنرى أنه كان ممن خلط بين آراء المدرستين في</w:t>
      </w:r>
      <w:r>
        <w:rPr>
          <w:rFonts w:ascii="Simplified Arabic" w:hAnsi="Simplified Arabic" w:cs="Simplified Arabic" w:hint="cs"/>
          <w:sz w:val="28"/>
          <w:szCs w:val="28"/>
          <w:rtl/>
          <w:lang w:bidi="ar-IQ"/>
        </w:rPr>
        <w:t xml:space="preserve"> </w:t>
      </w:r>
      <w:r w:rsidRPr="007D1295">
        <w:rPr>
          <w:rFonts w:ascii="Simplified Arabic" w:hAnsi="Simplified Arabic" w:cs="Simplified Arabic"/>
          <w:b/>
          <w:bCs/>
          <w:sz w:val="28"/>
          <w:szCs w:val="28"/>
          <w:rtl/>
          <w:lang w:bidi="ar-IQ"/>
        </w:rPr>
        <w:t>وضوح. وهو بذلك بغدادي ينتخب من المدرستين ما يراه أولى بالاتباع، وإن غلب عليه النزوع إلى المذهب البصري؛ لأنه كان المذهب الذي حُرِّرت أصوله وفروعه وعلله.</w:t>
      </w:r>
    </w:p>
    <w:p w:rsidR="0012635D" w:rsidRDefault="007D1295" w:rsidP="007D1295">
      <w:pPr>
        <w:jc w:val="both"/>
        <w:rPr>
          <w:rFonts w:ascii="Simplified Arabic" w:hAnsi="Simplified Arabic" w:cs="Simplified Arabic" w:hint="cs"/>
          <w:sz w:val="28"/>
          <w:szCs w:val="28"/>
          <w:rtl/>
          <w:lang w:bidi="ar-IQ"/>
        </w:rPr>
      </w:pPr>
      <w:r w:rsidRPr="007D1295">
        <w:rPr>
          <w:rFonts w:ascii="Simplified Arabic" w:hAnsi="Simplified Arabic" w:cs="Simplified Arabic"/>
          <w:b/>
          <w:bCs/>
          <w:sz w:val="28"/>
          <w:szCs w:val="28"/>
          <w:rtl/>
          <w:lang w:bidi="ar-IQ"/>
        </w:rPr>
        <w:t xml:space="preserve">وكان عقل أبي علي من الخصب بحيث ملأ نفس ابن جني تلميذه، حين ألم بالموصل، من جميع أقطارها، وهو يكثر من ذكر آرائه في كتابه الخصائص وغيره، حتى ليبدو كأنه كان كنزا سائلا بمسائل اللغة والنحو وما يجري فيها من ضبط الأصول وضبط الأقيسة والعلل، وقد استضاء به في كثير من الأصول الكلية التي حررها في كتابه الخصائص، فمن ذلك "السلب" يقول: "نبهنا أبو علي -رحمه الله- من هذا الموضع على ما أذكره وأبسطه؛ لتتعجب من حسن </w:t>
      </w:r>
      <w:proofErr w:type="spellStart"/>
      <w:r w:rsidRPr="007D1295">
        <w:rPr>
          <w:rFonts w:ascii="Simplified Arabic" w:hAnsi="Simplified Arabic" w:cs="Simplified Arabic"/>
          <w:b/>
          <w:bCs/>
          <w:sz w:val="28"/>
          <w:szCs w:val="28"/>
          <w:rtl/>
          <w:lang w:bidi="ar-IQ"/>
        </w:rPr>
        <w:t>الصنعة</w:t>
      </w:r>
      <w:proofErr w:type="spellEnd"/>
      <w:r w:rsidRPr="007D1295">
        <w:rPr>
          <w:rFonts w:ascii="Simplified Arabic" w:hAnsi="Simplified Arabic" w:cs="Simplified Arabic"/>
          <w:b/>
          <w:bCs/>
          <w:sz w:val="28"/>
          <w:szCs w:val="28"/>
          <w:rtl/>
          <w:lang w:bidi="ar-IQ"/>
        </w:rPr>
        <w:t xml:space="preserve"> فيه"1. ويأخذ في بيان أن الأصل في الفعل الإثبات مثل: قام فهي لإثبات القيام، ثم يقول: إنهم قد استعملوا ألفاظا في السلب ابتداء مثل مادة "عجم" فهي للإبهام، ولتوضيح ذلك يعرضها في استعمالاتها المختلفة، ثم يبين أنهم قد يدخلون الهمزة على الفعل لإفادة السلب مثل: أشكيت الرجل, إذا زُلت له عما يشكوه، وقد يضعفون ثانيه لنفس الغاية مثل: مرضت الرجل أي: داويته من مرضه، وقد يأتي السلب بدون زيادة. ويفيض ابن جني نقلا عن أستاذه في أمثلة كثيرة. ونراه ينقل عنه في باب تعارض القياس والسماع أمثلة خالف فيها العرب القياس, مبينا أن ما استقر على لسانهم هو الأساس2. وبالمثل ينقل عنه في باب الاستحسان وهو ما تكون علته ضعيفة غير مستحكمة مثل قولهم: رجل غديان والقياس: غدوان لأنه من قولهم: عدوت3. ومن ذلك باب نقض المراتب إذا عرض عارض كتقديم المفعول به على الفاعل4. ومن ذلك باب تلاقي اللغة، يقول: "هذا موضع لم أسمع فيه لأحد شيئا إلا لأبي علي رحمه الله"5, ويذكر مما جاء على لسانه منه: أجمع وجمعاء وأكتع وكتعاء وأخواتهما, فإن هذه الصيغة لا تأتي إلا صفة، بينما هي في تلك الأمثلة معارف.</w:t>
      </w:r>
    </w:p>
    <w:p w:rsidR="007D1295" w:rsidRDefault="007D1295" w:rsidP="007D1295">
      <w:pPr>
        <w:jc w:val="both"/>
        <w:rPr>
          <w:rFonts w:ascii="Simplified Arabic" w:hAnsi="Simplified Arabic" w:cs="Simplified Arabic" w:hint="cs"/>
          <w:sz w:val="28"/>
          <w:szCs w:val="28"/>
          <w:rtl/>
          <w:lang w:bidi="ar-IQ"/>
        </w:rPr>
      </w:pPr>
      <w:r w:rsidRPr="007D1295">
        <w:rPr>
          <w:rFonts w:ascii="Simplified Arabic" w:hAnsi="Simplified Arabic" w:cs="Simplified Arabic"/>
          <w:b/>
          <w:bCs/>
          <w:sz w:val="28"/>
          <w:szCs w:val="28"/>
          <w:rtl/>
          <w:lang w:bidi="ar-IQ"/>
        </w:rPr>
        <w:lastRenderedPageBreak/>
        <w:t xml:space="preserve">ومن ذلك باب ما قِيس على كلام العرب فإنه يصبح من كلامهم1، وباب الامتناع من تركيب ما يخرج عن السماع2. ومما نقله عنه باب الاشتقاق الأكبر، يقول: "هذا موضع لم يسمه أحد من أصحابنا غير أن أبا علي -رحمه الله- كان يستعين به ويخلد إليه"3, ويريد به "أن تأخذ أصلا من الأصول الثلاثية فتعقد عليه وعلى </w:t>
      </w:r>
      <w:proofErr w:type="spellStart"/>
      <w:r w:rsidRPr="007D1295">
        <w:rPr>
          <w:rFonts w:ascii="Simplified Arabic" w:hAnsi="Simplified Arabic" w:cs="Simplified Arabic"/>
          <w:b/>
          <w:bCs/>
          <w:sz w:val="28"/>
          <w:szCs w:val="28"/>
          <w:rtl/>
          <w:lang w:bidi="ar-IQ"/>
        </w:rPr>
        <w:t>تقاليبه</w:t>
      </w:r>
      <w:proofErr w:type="spellEnd"/>
      <w:r w:rsidRPr="007D1295">
        <w:rPr>
          <w:rFonts w:ascii="Simplified Arabic" w:hAnsi="Simplified Arabic" w:cs="Simplified Arabic"/>
          <w:b/>
          <w:bCs/>
          <w:sz w:val="28"/>
          <w:szCs w:val="28"/>
          <w:rtl/>
          <w:lang w:bidi="ar-IQ"/>
        </w:rPr>
        <w:t xml:space="preserve"> الستة معنى واحدا، تجتمع التراكيب الستة وما يتصرف من كل واحد منها عليه، وإن تباعد شيء من ذلك عنه رُد بلطف </w:t>
      </w:r>
      <w:proofErr w:type="spellStart"/>
      <w:r w:rsidRPr="007D1295">
        <w:rPr>
          <w:rFonts w:ascii="Simplified Arabic" w:hAnsi="Simplified Arabic" w:cs="Simplified Arabic"/>
          <w:b/>
          <w:bCs/>
          <w:sz w:val="28"/>
          <w:szCs w:val="28"/>
          <w:rtl/>
          <w:lang w:bidi="ar-IQ"/>
        </w:rPr>
        <w:t>الصنعة</w:t>
      </w:r>
      <w:proofErr w:type="spellEnd"/>
      <w:r w:rsidRPr="007D1295">
        <w:rPr>
          <w:rFonts w:ascii="Simplified Arabic" w:hAnsi="Simplified Arabic" w:cs="Simplified Arabic"/>
          <w:b/>
          <w:bCs/>
          <w:sz w:val="28"/>
          <w:szCs w:val="28"/>
          <w:rtl/>
          <w:lang w:bidi="ar-IQ"/>
        </w:rPr>
        <w:t xml:space="preserve"> والتأويل إليه ... نحو: ك ل م، ك م ل، م ل ك، م ك ل، ل ك م، ل م ك". ومن ذلك باب مشابهة معاني الإعراب معاني الشعر، إذ يقول: "نبهنا أبو علي -رحمه الله- من هذا الموضع على أغراض حسنة"4. ويقول في باب تعليق الأعلام على المعاني دون الأعيان: "هذا باب من العربية, غريب الحديث أراناه أبو علي"5. وقد بنى باب محل حركات الإعراب من الحروف على كلام لأبي علي6، واكتفى في حديثه عن الحرف المبتدأ به أيمكن أن يكون ساكنا على توجيه أستاذه؟ 7, ويقول في باب إضافة الاسم إلى المسمى والمسمى إلى الاسم: "هذا موضع كان </w:t>
      </w:r>
      <w:proofErr w:type="spellStart"/>
      <w:r w:rsidRPr="007D1295">
        <w:rPr>
          <w:rFonts w:ascii="Simplified Arabic" w:hAnsi="Simplified Arabic" w:cs="Simplified Arabic"/>
          <w:b/>
          <w:bCs/>
          <w:sz w:val="28"/>
          <w:szCs w:val="28"/>
          <w:rtl/>
          <w:lang w:bidi="ar-IQ"/>
        </w:rPr>
        <w:t>يعتاده</w:t>
      </w:r>
      <w:proofErr w:type="spellEnd"/>
      <w:r w:rsidRPr="007D1295">
        <w:rPr>
          <w:rFonts w:ascii="Simplified Arabic" w:hAnsi="Simplified Arabic" w:cs="Simplified Arabic"/>
          <w:b/>
          <w:bCs/>
          <w:sz w:val="28"/>
          <w:szCs w:val="28"/>
          <w:rtl/>
          <w:lang w:bidi="ar-IQ"/>
        </w:rPr>
        <w:t xml:space="preserve"> أبو علي -رحمه الله- كثيرا ويألفه </w:t>
      </w:r>
      <w:proofErr w:type="spellStart"/>
      <w:r w:rsidRPr="007D1295">
        <w:rPr>
          <w:rFonts w:ascii="Simplified Arabic" w:hAnsi="Simplified Arabic" w:cs="Simplified Arabic"/>
          <w:b/>
          <w:bCs/>
          <w:sz w:val="28"/>
          <w:szCs w:val="28"/>
          <w:rtl/>
          <w:lang w:bidi="ar-IQ"/>
        </w:rPr>
        <w:t>ويأنق</w:t>
      </w:r>
      <w:proofErr w:type="spellEnd"/>
      <w:r w:rsidRPr="007D1295">
        <w:rPr>
          <w:rFonts w:ascii="Simplified Arabic" w:hAnsi="Simplified Arabic" w:cs="Simplified Arabic"/>
          <w:b/>
          <w:bCs/>
          <w:sz w:val="28"/>
          <w:szCs w:val="28"/>
          <w:rtl/>
          <w:lang w:bidi="ar-IQ"/>
        </w:rPr>
        <w:t xml:space="preserve"> له ويرتاح لسماعه"8. ويعقد بابا للاكتفاء بالسبب دون المسبب وبالمسبب من السبب قائلا: "هذا موضع من العربية شريف لطيف وواسع لمتأمله كثير، وكان أبو علي -رحمه الله- يستحسنه ويعنى به"9. ومن ذلك قوله في فاتحة باب نقض الأصول وإنشاء أصول غيرها: "رأيت أبا علي -رحمه الله- معتمدا هذا الفصل من العربية, ملما به, دائم التطرق له والفزع فيما يحدث إليه"10. ويقول في باب تجاذب المعاني والإعراب: "هذا موضع كان أبو علي -رحمه الله- </w:t>
      </w:r>
      <w:proofErr w:type="spellStart"/>
      <w:r w:rsidRPr="007D1295">
        <w:rPr>
          <w:rFonts w:ascii="Simplified Arabic" w:hAnsi="Simplified Arabic" w:cs="Simplified Arabic"/>
          <w:b/>
          <w:bCs/>
          <w:sz w:val="28"/>
          <w:szCs w:val="28"/>
          <w:rtl/>
          <w:lang w:bidi="ar-IQ"/>
        </w:rPr>
        <w:t>يعتاده</w:t>
      </w:r>
      <w:proofErr w:type="spellEnd"/>
      <w:r w:rsidRPr="007D1295">
        <w:rPr>
          <w:rFonts w:ascii="Simplified Arabic" w:hAnsi="Simplified Arabic" w:cs="Simplified Arabic"/>
          <w:b/>
          <w:bCs/>
          <w:sz w:val="28"/>
          <w:szCs w:val="28"/>
          <w:rtl/>
          <w:lang w:bidi="ar-IQ"/>
        </w:rPr>
        <w:t>، ويلم كثيرا به، ويبعث على المراجعة له، وإلطاف النظر فيه"11.</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 xml:space="preserve">ولعلنا لا نغلو إذا قلنا بعد ذلك: إن أكثر الأصول التي اعتمدها ابن جني في كتابه الخصائص إنما استمدها من إملاءات أبي علي أستاذه وملاحظاته. وإذا رجعنا إلى آرائه النحوية وجدناه في طائفة منها ينصر الخليل وسيبويه، وغيرهما من البصريين، وفي طائفة أخرى ينتصر للكوفيين، ويكفي أن ندل على ذلك ببعض الأمثلة، فمما انتصر فيه للخليل أن لا النافية قد تأتي زائدة كما في قوله تعالى: {وَمَا يُشْعِرُكُمْ أَنَّهَا إِذَا جَاءَتْ لَا يُؤْمِنُونَ} 1. وانتصر له ولسيبويه في تحليل {وَيْكَأَنَّهُ} في قوله جل شأنه: {وَيْكَأَنَّهُ لَا يُفْلِحُ الْكَافِرُونَ} إذ كانا يذهبان إلى أن "ويْ" مفصولة بمعنى أعجب, </w:t>
      </w:r>
      <w:r w:rsidRPr="007D1295">
        <w:rPr>
          <w:rFonts w:ascii="Simplified Arabic" w:hAnsi="Simplified Arabic" w:cs="Simplified Arabic"/>
          <w:b/>
          <w:bCs/>
          <w:sz w:val="28"/>
          <w:szCs w:val="28"/>
          <w:rtl/>
          <w:lang w:bidi="ar-IQ"/>
        </w:rPr>
        <w:lastRenderedPageBreak/>
        <w:t xml:space="preserve">وذهب الأخفش إلى أنها موصولة بالكاف, أي: "ويك أنه لا يفلح الكافرون" </w:t>
      </w:r>
      <w:proofErr w:type="spellStart"/>
      <w:r w:rsidRPr="007D1295">
        <w:rPr>
          <w:rFonts w:ascii="Simplified Arabic" w:hAnsi="Simplified Arabic" w:cs="Simplified Arabic"/>
          <w:b/>
          <w:bCs/>
          <w:sz w:val="28"/>
          <w:szCs w:val="28"/>
          <w:rtl/>
          <w:lang w:bidi="ar-IQ"/>
        </w:rPr>
        <w:t>وويك</w:t>
      </w:r>
      <w:proofErr w:type="spellEnd"/>
      <w:r w:rsidRPr="007D1295">
        <w:rPr>
          <w:rFonts w:ascii="Simplified Arabic" w:hAnsi="Simplified Arabic" w:cs="Simplified Arabic"/>
          <w:b/>
          <w:bCs/>
          <w:sz w:val="28"/>
          <w:szCs w:val="28"/>
          <w:rtl/>
          <w:lang w:bidi="ar-IQ"/>
        </w:rPr>
        <w:t xml:space="preserve"> عنده بمعنى أعجب، وعلق أن وما بعدها بما في ويك من معنى الفعل. ووقف أبو علي مع الخليل وسيبويه مؤكدا أن "كأن" قد تأتي كالزائدة، وأنشد في ذلك بيت عمر بن أبي ربيعة:</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كأنني حين أمسي لا تكلمني ... ذو بغية يشتهي ما ليس موجودا</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أي: أنا كذلك2. وكان سيبويه يذهب إلى أن "إذ ما" حرف شرط مثل إن، وذهب المبرد وابن السراج -وتابعهما أبو علي- إلى أنها ظرف مثل إذ3. وقد أجاز مع الأخفش والكوفيين ترك صرف ما ينصرف في ضرورة الشعر4.</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وعلى نحو ما كان ينتخب لنفسه من الآراء البصرية كان ينتخب من الآراء الكوفية ما صح في قياسه، من ذلك أنه كان يقف مع الكوفيين في إعمال الفعل الأول في باب التنازع, مستدلا بقول امرئ القيس:</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ولو أن ما أسعى لأدنى معيشة ... كفاني ولم أطلب قليل من المال5</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وكان يتابعهم في إعمال إِنِ النافية عمل ليس لما رووا عن بعض أهل العالية في نجد من قولهم: "إن أحدٌ خيرا من أحد إلا بالعافية"6. وتابعهم في أن</w:t>
      </w:r>
      <w:r>
        <w:rPr>
          <w:rFonts w:ascii="Simplified Arabic" w:hAnsi="Simplified Arabic" w:cs="Simplified Arabic" w:hint="cs"/>
          <w:sz w:val="28"/>
          <w:szCs w:val="28"/>
          <w:rtl/>
          <w:lang w:bidi="ar-IQ"/>
        </w:rPr>
        <w:t xml:space="preserve"> </w:t>
      </w:r>
      <w:r w:rsidRPr="007D1295">
        <w:rPr>
          <w:rFonts w:ascii="Simplified Arabic" w:hAnsi="Simplified Arabic" w:cs="Simplified Arabic"/>
          <w:b/>
          <w:bCs/>
          <w:sz w:val="28"/>
          <w:szCs w:val="28"/>
          <w:rtl/>
          <w:lang w:bidi="ar-IQ"/>
        </w:rPr>
        <w:t xml:space="preserve">عطف البيان </w:t>
      </w:r>
      <w:proofErr w:type="spellStart"/>
      <w:r w:rsidRPr="007D1295">
        <w:rPr>
          <w:rFonts w:ascii="Simplified Arabic" w:hAnsi="Simplified Arabic" w:cs="Simplified Arabic"/>
          <w:b/>
          <w:bCs/>
          <w:sz w:val="28"/>
          <w:szCs w:val="28"/>
          <w:rtl/>
          <w:lang w:bidi="ar-IQ"/>
        </w:rPr>
        <w:t>ومتبوعه</w:t>
      </w:r>
      <w:proofErr w:type="spellEnd"/>
      <w:r w:rsidRPr="007D1295">
        <w:rPr>
          <w:rFonts w:ascii="Simplified Arabic" w:hAnsi="Simplified Arabic" w:cs="Simplified Arabic"/>
          <w:b/>
          <w:bCs/>
          <w:sz w:val="28"/>
          <w:szCs w:val="28"/>
          <w:rtl/>
          <w:lang w:bidi="ar-IQ"/>
        </w:rPr>
        <w:t xml:space="preserve"> قد يكونان نكرتين، وقد استدلوا بمثل قوله جل شأنه: {أَوْ كَفَّارَةٌ طَعَامُ مَسَاكِينَ} وقوله: {مِنْ شَجَرَةٍ مُبَارَكَةٍ زَيْتُونَةٍ} وكان البصريون يؤولون مثل ذلك على أنه بدل ذاهبين إلى أن عطف البيان ينبغي أن يكون دائما معرفة1. وذهب البصريون إلى أن لو شرطية دائما، بينما ذهب الفراء -وتابعه أبو علي- إلى أنها قد تكون حرفا مصدريا بمنزلة أنْ إلا أنها لا تنصب، وأكثر وقوع ذلك بعد ود ويود مثل: {وَدُّوا لَوْ تُدْهِنُ} و {يَوَدُّ أَحَدُهُمْ لَوْ يُعَمَّرُ} وقال البصريون: إنها في مثل ذلك شرطية وإن مفعول {يَوَدُّ} وجواب {لَوْ} محذوف، والتقدير: يود أحدهم التعمير لو يعمر ألف سنة لسره ذلك. ويقول ابن هشام: لا خفاء بما في هذا التقدير من التكلف2. وكان يجيز -مثل الكوفيين- إعمال الضمير العائد على المصدر في الظرف مثل: "قيامك أمسِ حسن وهو اليوم قبيح" فهو عنده تعمل في </w:t>
      </w:r>
      <w:r w:rsidRPr="007D1295">
        <w:rPr>
          <w:rFonts w:ascii="Simplified Arabic" w:hAnsi="Simplified Arabic" w:cs="Simplified Arabic"/>
          <w:b/>
          <w:bCs/>
          <w:sz w:val="28"/>
          <w:szCs w:val="28"/>
          <w:rtl/>
          <w:lang w:bidi="ar-IQ"/>
        </w:rPr>
        <w:lastRenderedPageBreak/>
        <w:t>اليوم عمل المصدر العائدة عليه3. وتابعهم في أن "أو" تأتي للإضراب مطلقا بدون اشتراط تقدم نفي أو نهي كما اشترط سيبويه، محتجا بقول جرير:</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ماذا ترى في عيال قد برمت بهم ... لم أُحْصِ عدتهم إلا بعداد؟</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كانوا ثمانين أو زادوا ثمانية ... لولا رجاؤك قد قتلت أولادي4</w:t>
      </w:r>
    </w:p>
    <w:p w:rsidR="007D1295" w:rsidRPr="007D1295" w:rsidRDefault="007D1295" w:rsidP="007D1295">
      <w:pPr>
        <w:jc w:val="both"/>
        <w:rPr>
          <w:rFonts w:ascii="Simplified Arabic" w:hAnsi="Simplified Arabic" w:cs="Simplified Arabic"/>
          <w:b/>
          <w:bCs/>
          <w:sz w:val="28"/>
          <w:szCs w:val="28"/>
          <w:rtl/>
          <w:lang w:bidi="ar-IQ"/>
        </w:rPr>
      </w:pPr>
      <w:r w:rsidRPr="007D1295">
        <w:rPr>
          <w:rFonts w:ascii="Simplified Arabic" w:hAnsi="Simplified Arabic" w:cs="Simplified Arabic"/>
          <w:b/>
          <w:bCs/>
          <w:sz w:val="28"/>
          <w:szCs w:val="28"/>
          <w:rtl/>
          <w:lang w:bidi="ar-IQ"/>
        </w:rPr>
        <w:t>ومما تابعهم فيه أن الباء الجارَّة قد تأتي بمعنى التبعيض مثل قوله تعالى: {وَامْسَحُوا بِرُءُوسِكُمْ} , وقوله: {عَيْنًا يَشْرَبُ بِهَا عِبَادُ اللَّهِ} 5. وكان سيبويه يذهب إلى أن خلا إذا تقدمتها ما كانت فعلا، وذهب الكسائي وتبعه أبو علي الفارسي، إلى أنها قد تكون حرف جر وما زائدة6.</w:t>
      </w:r>
    </w:p>
    <w:p w:rsidR="007D1295" w:rsidRPr="003F1467" w:rsidRDefault="007D1295" w:rsidP="007D1295">
      <w:pPr>
        <w:jc w:val="both"/>
        <w:rPr>
          <w:rFonts w:ascii="Simplified Arabic" w:hAnsi="Simplified Arabic" w:cs="Simplified Arabic"/>
          <w:sz w:val="28"/>
          <w:szCs w:val="28"/>
          <w:lang w:bidi="ar-IQ"/>
        </w:rPr>
      </w:pPr>
      <w:r w:rsidRPr="007D1295">
        <w:rPr>
          <w:rFonts w:ascii="Simplified Arabic" w:hAnsi="Simplified Arabic" w:cs="Simplified Arabic"/>
          <w:b/>
          <w:bCs/>
          <w:sz w:val="28"/>
          <w:szCs w:val="28"/>
          <w:rtl/>
          <w:lang w:bidi="ar-IQ"/>
        </w:rPr>
        <w:t>وليس كل ما يشكِّل بغدادية أبي علي أنه كان ينتخب لنفسه من المذهبين</w:t>
      </w:r>
      <w:r>
        <w:rPr>
          <w:rFonts w:ascii="Simplified Arabic" w:hAnsi="Simplified Arabic" w:cs="Simplified Arabic" w:hint="cs"/>
          <w:sz w:val="28"/>
          <w:szCs w:val="28"/>
          <w:rtl/>
          <w:lang w:bidi="ar-IQ"/>
        </w:rPr>
        <w:t xml:space="preserve"> </w:t>
      </w:r>
      <w:r w:rsidRPr="007D1295">
        <w:rPr>
          <w:rFonts w:ascii="Simplified Arabic" w:hAnsi="Simplified Arabic" w:cs="Simplified Arabic"/>
          <w:b/>
          <w:bCs/>
          <w:sz w:val="28"/>
          <w:szCs w:val="28"/>
          <w:rtl/>
          <w:lang w:bidi="ar-IQ"/>
        </w:rPr>
        <w:t xml:space="preserve">الكوفي والبصري، بل يشكلها أيضا أنه كان يجتهد وينفرد بآراء لم يسبق إليها، من ذلك أن سيبويه وجمهور البصريين كانوا يذهبون إلى أن العامل في المعطوف هو العامل في المعطوف عليه, فمثل: كلمت محمدا وعليا انتصب محمد وعلي جميعا </w:t>
      </w:r>
      <w:proofErr w:type="spellStart"/>
      <w:r w:rsidRPr="007D1295">
        <w:rPr>
          <w:rFonts w:ascii="Simplified Arabic" w:hAnsi="Simplified Arabic" w:cs="Simplified Arabic"/>
          <w:b/>
          <w:bCs/>
          <w:sz w:val="28"/>
          <w:szCs w:val="28"/>
          <w:rtl/>
          <w:lang w:bidi="ar-IQ"/>
        </w:rPr>
        <w:t>بكلمت</w:t>
      </w:r>
      <w:proofErr w:type="spellEnd"/>
      <w:r w:rsidRPr="007D1295">
        <w:rPr>
          <w:rFonts w:ascii="Simplified Arabic" w:hAnsi="Simplified Arabic" w:cs="Simplified Arabic"/>
          <w:b/>
          <w:bCs/>
          <w:sz w:val="28"/>
          <w:szCs w:val="28"/>
          <w:rtl/>
          <w:lang w:bidi="ar-IQ"/>
        </w:rPr>
        <w:t xml:space="preserve">. وذهب ابن السراج إلى أن حرف العطف هو العامل، أما أبو علي فرأى أن العامل في المعطوف فعل محذوف بعد أداة العطف؛ لأن الأصل في مثل: كلمت محمد وعليا: كلمت محمدا وكلمت عليا، فحُذف الفعل بعد الواو لدلالة الأول عليه، بدليل أنه يجوز إظهاره1. وكان سيبويه يذهب إلى أن ناصب المنادى فعل محذوف تقديره: أنادي أو أدعو، وذهب المبرد إلى أن ناصبه حرف النداء يا وأخواتها لنيابتها عن الفعل، وذهب أبو علي الفارسي إلى أن أدوات النداء ليست حروفا وإنما هي أسماء أفعال2، وأن المنادى مشبه بالمفعول به3. ومر بنا في غير هذا الموضع اختلاف النحاة في إعراب الأسماء الخمسة، فقد كان سيبويه يرى أنها معربة بحركات مقدرة في الحروف، وقال الكوفيون: إنها معربة بالحركات على ما قبل حروف العلة، </w:t>
      </w:r>
      <w:proofErr w:type="spellStart"/>
      <w:r w:rsidRPr="007D1295">
        <w:rPr>
          <w:rFonts w:ascii="Simplified Arabic" w:hAnsi="Simplified Arabic" w:cs="Simplified Arabic"/>
          <w:b/>
          <w:bCs/>
          <w:sz w:val="28"/>
          <w:szCs w:val="28"/>
          <w:rtl/>
          <w:lang w:bidi="ar-IQ"/>
        </w:rPr>
        <w:t>ووافقهم</w:t>
      </w:r>
      <w:proofErr w:type="spellEnd"/>
      <w:r w:rsidRPr="007D1295">
        <w:rPr>
          <w:rFonts w:ascii="Simplified Arabic" w:hAnsi="Simplified Arabic" w:cs="Simplified Arabic"/>
          <w:b/>
          <w:bCs/>
          <w:sz w:val="28"/>
          <w:szCs w:val="28"/>
          <w:rtl/>
          <w:lang w:bidi="ar-IQ"/>
        </w:rPr>
        <w:t xml:space="preserve"> المازني إلا أنه قال: إن تلك الحروف ناشئة عن إشباع الحركات، وقال قطرب من البصريين وهشام من الكوفيين: إن حروف العلة نابت عن الحركات، وقال الجرمي: انقلاب تلك الحروف هو الإعراب، وذهب أبو علي الفارسي إلى أنها حروف إعراب دالة عليه4. وكان سيبويه والجمهور يذهبون إلى أن الأفعال الخمسة ترفع بالنون وتنصب وتجزم بحذفها، وقال الأخفش: </w:t>
      </w:r>
      <w:r w:rsidRPr="007D1295">
        <w:rPr>
          <w:rFonts w:ascii="Simplified Arabic" w:hAnsi="Simplified Arabic" w:cs="Simplified Arabic"/>
          <w:b/>
          <w:bCs/>
          <w:sz w:val="28"/>
          <w:szCs w:val="28"/>
          <w:rtl/>
          <w:lang w:bidi="ar-IQ"/>
        </w:rPr>
        <w:lastRenderedPageBreak/>
        <w:t>هي معربة بحركات مقدرة على ما قبل الألف في مثل يكتبان, والواو في مثل يكتبون, والياء في مثل تكتبين، وقيل: إعراب هذه الأفعال بالألف والواو والنون، وقال أبو علي: هي معربة ولا يوجد بها حرف إعراب، لا النون لأنها تسقط في النصب من الجزم ولا الألف والواو والياء لأنها ليست في آخرها، ولأنها ضمائر متصلة بها5.</w:t>
      </w:r>
      <w:bookmarkStart w:id="0" w:name="_GoBack"/>
      <w:bookmarkEnd w:id="0"/>
    </w:p>
    <w:sectPr w:rsidR="007D1295"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AE9" w:rsidRDefault="008F7AE9">
      <w:pPr>
        <w:spacing w:after="0" w:line="240" w:lineRule="auto"/>
      </w:pPr>
      <w:r>
        <w:separator/>
      </w:r>
    </w:p>
  </w:endnote>
  <w:endnote w:type="continuationSeparator" w:id="0">
    <w:p w:rsidR="008F7AE9" w:rsidRDefault="008F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7D1295" w:rsidRPr="007D1295">
          <w:rPr>
            <w:rFonts w:cs="Calibri"/>
            <w:noProof/>
            <w:lang w:val="ar-SA"/>
          </w:rPr>
          <w:t>6</w:t>
        </w:r>
        <w:r>
          <w:fldChar w:fldCharType="end"/>
        </w:r>
      </w:p>
    </w:sdtContent>
  </w:sdt>
  <w:p w:rsidR="0029483E" w:rsidRDefault="008F7AE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AE9" w:rsidRDefault="008F7AE9">
      <w:pPr>
        <w:spacing w:after="0" w:line="240" w:lineRule="auto"/>
      </w:pPr>
      <w:r>
        <w:separator/>
      </w:r>
    </w:p>
  </w:footnote>
  <w:footnote w:type="continuationSeparator" w:id="0">
    <w:p w:rsidR="008F7AE9" w:rsidRDefault="008F7A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7D1295"/>
    <w:rsid w:val="008F7AE9"/>
    <w:rsid w:val="00983DBA"/>
    <w:rsid w:val="00BD365B"/>
    <w:rsid w:val="00C62AFD"/>
    <w:rsid w:val="00D01152"/>
    <w:rsid w:val="00D460A5"/>
    <w:rsid w:val="00DC4826"/>
    <w:rsid w:val="00E42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1401</Words>
  <Characters>7992</Characters>
  <Application>Microsoft Office Word</Application>
  <DocSecurity>0</DocSecurity>
  <Lines>66</Lines>
  <Paragraphs>18</Paragraphs>
  <ScaleCrop>false</ScaleCrop>
  <Company>SACC - ANAS</Company>
  <LinksUpToDate>false</LinksUpToDate>
  <CharactersWithSpaces>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17</cp:revision>
  <dcterms:created xsi:type="dcterms:W3CDTF">2017-10-13T19:51:00Z</dcterms:created>
  <dcterms:modified xsi:type="dcterms:W3CDTF">2018-01-12T20:45:00Z</dcterms:modified>
</cp:coreProperties>
</file>