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77D" w:rsidRPr="003F1467" w:rsidRDefault="003F1467" w:rsidP="003F1467">
      <w:pPr>
        <w:spacing w:after="0" w:line="240" w:lineRule="auto"/>
        <w:jc w:val="center"/>
        <w:rPr>
          <w:rFonts w:ascii="Simplified Arabic" w:eastAsia="Calibri" w:hAnsi="Simplified Arabic" w:cs="Simplified Arabic"/>
          <w:b/>
          <w:bCs/>
          <w:sz w:val="28"/>
          <w:szCs w:val="28"/>
          <w:u w:val="single"/>
          <w:rtl/>
          <w:lang w:bidi="ar-IQ"/>
        </w:rPr>
      </w:pPr>
      <w:r w:rsidRPr="003F1467">
        <w:rPr>
          <w:rFonts w:ascii="Simplified Arabic" w:eastAsia="Calibri" w:hAnsi="Simplified Arabic" w:cs="Simplified Arabic"/>
          <w:b/>
          <w:bCs/>
          <w:sz w:val="28"/>
          <w:szCs w:val="28"/>
          <w:u w:val="single"/>
          <w:rtl/>
          <w:lang w:bidi="ar-IQ"/>
        </w:rPr>
        <w:t>المدرسة البغداديّة</w:t>
      </w:r>
      <w:r w:rsidR="0016277D" w:rsidRPr="003F1467">
        <w:rPr>
          <w:rFonts w:ascii="Simplified Arabic" w:eastAsia="Calibri" w:hAnsi="Simplified Arabic" w:cs="Simplified Arabic"/>
          <w:b/>
          <w:bCs/>
          <w:sz w:val="28"/>
          <w:szCs w:val="28"/>
          <w:u w:val="single"/>
          <w:rtl/>
          <w:lang w:bidi="ar-IQ"/>
        </w:rPr>
        <w:t>:</w:t>
      </w:r>
    </w:p>
    <w:p w:rsidR="009661D1" w:rsidRPr="009661D1" w:rsidRDefault="009661D1" w:rsidP="009661D1">
      <w:pPr>
        <w:jc w:val="both"/>
        <w:rPr>
          <w:rFonts w:ascii="Simplified Arabic" w:hAnsi="Simplified Arabic" w:cs="Simplified Arabic"/>
          <w:b/>
          <w:bCs/>
          <w:sz w:val="28"/>
          <w:szCs w:val="28"/>
          <w:rtl/>
          <w:lang w:bidi="ar-IQ"/>
        </w:rPr>
      </w:pPr>
      <w:r w:rsidRPr="009661D1">
        <w:rPr>
          <w:rFonts w:ascii="Simplified Arabic" w:hAnsi="Simplified Arabic" w:cs="Simplified Arabic"/>
          <w:b/>
          <w:bCs/>
          <w:sz w:val="28"/>
          <w:szCs w:val="28"/>
          <w:rtl/>
          <w:lang w:bidi="ar-IQ"/>
        </w:rPr>
        <w:t>4- بغداديون متأخرون:</w:t>
      </w:r>
    </w:p>
    <w:p w:rsidR="009661D1" w:rsidRPr="009661D1" w:rsidRDefault="009661D1" w:rsidP="009661D1">
      <w:pPr>
        <w:jc w:val="both"/>
        <w:rPr>
          <w:rFonts w:ascii="Simplified Arabic" w:hAnsi="Simplified Arabic" w:cs="Simplified Arabic"/>
          <w:b/>
          <w:bCs/>
          <w:sz w:val="28"/>
          <w:szCs w:val="28"/>
          <w:rtl/>
          <w:lang w:bidi="ar-IQ"/>
        </w:rPr>
      </w:pPr>
      <w:r w:rsidRPr="009661D1">
        <w:rPr>
          <w:rFonts w:ascii="Simplified Arabic" w:hAnsi="Simplified Arabic" w:cs="Simplified Arabic"/>
          <w:b/>
          <w:bCs/>
          <w:sz w:val="28"/>
          <w:szCs w:val="28"/>
          <w:rtl/>
          <w:lang w:bidi="ar-IQ"/>
        </w:rPr>
        <w:t>كان ظهور الإمامين النحويين الكبيرين أبي علي الفارسي وتلميذه ابن جني, إيذانا بأن تنزع المدرسة البغدادية نزعة بصرية قوية, وأن يسود اتجاهها في الانتخاب من آراء المدرستين البصرية والكوفية والاجتهاد في استنباط آراء جديدة، وأن يتأثر بهما النحاة النابهون الذين خلفوهما في العراق والشام وإيران، ويتخذوا</w:t>
      </w:r>
      <w:r>
        <w:rPr>
          <w:rFonts w:ascii="Simplified Arabic" w:hAnsi="Simplified Arabic" w:cs="Simplified Arabic" w:hint="cs"/>
          <w:sz w:val="28"/>
          <w:szCs w:val="28"/>
          <w:rtl/>
          <w:lang w:bidi="ar-IQ"/>
        </w:rPr>
        <w:t xml:space="preserve"> </w:t>
      </w:r>
      <w:r w:rsidRPr="009661D1">
        <w:rPr>
          <w:rFonts w:ascii="Simplified Arabic" w:hAnsi="Simplified Arabic" w:cs="Simplified Arabic"/>
          <w:b/>
          <w:bCs/>
          <w:sz w:val="28"/>
          <w:szCs w:val="28"/>
          <w:rtl/>
          <w:lang w:bidi="ar-IQ"/>
        </w:rPr>
        <w:t xml:space="preserve">نفس المنهج الذي أصَّلَاه، فلا بد من تمثُّل الآراء البصرية والكوفية وآراء البغداديين الأولين الذين كانوا ينزعون نزعة كوفية، ولا بد من تمثل آراء أبي علي وابن جني، وهو تمثل جعلهم يعكفون على مصنفات جميع أئمة النحو المتقدمين وخاصة مصنفات أبي علي وابن جني، مما جعلهم يسيرون في نفس الطريق الذي نهجاه وذللاه، ولن نستطيع استقصاءهم؛ ولذلك سنكتفي بالحديث عن أعلامهم حديثا موجزا يتفق وغايتنا من صنع هذا الكتاب، وفي رأينا أن أنبههم وأوسعهم شهرة الزمخشري وابن الشجري وأبو البركات الأنباري وأبو البقاء العكبري وابن يعيش والرضي </w:t>
      </w:r>
      <w:proofErr w:type="spellStart"/>
      <w:r w:rsidRPr="009661D1">
        <w:rPr>
          <w:rFonts w:ascii="Simplified Arabic" w:hAnsi="Simplified Arabic" w:cs="Simplified Arabic"/>
          <w:b/>
          <w:bCs/>
          <w:sz w:val="28"/>
          <w:szCs w:val="28"/>
          <w:rtl/>
          <w:lang w:bidi="ar-IQ"/>
        </w:rPr>
        <w:t>الإسترابادي</w:t>
      </w:r>
      <w:proofErr w:type="spellEnd"/>
      <w:r w:rsidRPr="009661D1">
        <w:rPr>
          <w:rFonts w:ascii="Simplified Arabic" w:hAnsi="Simplified Arabic" w:cs="Simplified Arabic"/>
          <w:b/>
          <w:bCs/>
          <w:sz w:val="28"/>
          <w:szCs w:val="28"/>
          <w:rtl/>
          <w:lang w:bidi="ar-IQ"/>
        </w:rPr>
        <w:t>، وسنخص الزمخشري بكلمة أكثر تفصيلا.</w:t>
      </w:r>
    </w:p>
    <w:p w:rsidR="009661D1" w:rsidRPr="009661D1" w:rsidRDefault="009661D1" w:rsidP="009661D1">
      <w:pPr>
        <w:jc w:val="both"/>
        <w:rPr>
          <w:rFonts w:ascii="Simplified Arabic" w:hAnsi="Simplified Arabic" w:cs="Simplified Arabic"/>
          <w:b/>
          <w:bCs/>
          <w:sz w:val="28"/>
          <w:szCs w:val="28"/>
          <w:rtl/>
          <w:lang w:bidi="ar-IQ"/>
        </w:rPr>
      </w:pPr>
      <w:r w:rsidRPr="009661D1">
        <w:rPr>
          <w:rFonts w:ascii="Simplified Arabic" w:hAnsi="Simplified Arabic" w:cs="Simplified Arabic"/>
          <w:b/>
          <w:bCs/>
          <w:sz w:val="28"/>
          <w:szCs w:val="28"/>
          <w:rtl/>
          <w:lang w:bidi="ar-IQ"/>
        </w:rPr>
        <w:t xml:space="preserve">وابن الشجري1 كان نقيب الطالبيين بالكرخ في بغداد، ولد سنة 450 وتوفي سنة 542 للهجرة، وهو أحد أئمة النحاة، ويقال: إنه لم يكن أنحى منه في عصره، وإنه ظل يدرس النحو لطلابه نحو سبعين عاما، وفي أخباره ما يدل على أنه موصول النسب العلمي فيه بأبي علي الفارسي، فقد أخذه عن ابن </w:t>
      </w:r>
      <w:proofErr w:type="spellStart"/>
      <w:r w:rsidRPr="009661D1">
        <w:rPr>
          <w:rFonts w:ascii="Simplified Arabic" w:hAnsi="Simplified Arabic" w:cs="Simplified Arabic"/>
          <w:b/>
          <w:bCs/>
          <w:sz w:val="28"/>
          <w:szCs w:val="28"/>
          <w:rtl/>
          <w:lang w:bidi="ar-IQ"/>
        </w:rPr>
        <w:t>طباطبا</w:t>
      </w:r>
      <w:proofErr w:type="spellEnd"/>
      <w:r w:rsidRPr="009661D1">
        <w:rPr>
          <w:rFonts w:ascii="Simplified Arabic" w:hAnsi="Simplified Arabic" w:cs="Simplified Arabic"/>
          <w:b/>
          <w:bCs/>
          <w:sz w:val="28"/>
          <w:szCs w:val="28"/>
          <w:rtl/>
          <w:lang w:bidi="ar-IQ"/>
        </w:rPr>
        <w:t xml:space="preserve">، وأخذه ابن </w:t>
      </w:r>
      <w:proofErr w:type="spellStart"/>
      <w:r w:rsidRPr="009661D1">
        <w:rPr>
          <w:rFonts w:ascii="Simplified Arabic" w:hAnsi="Simplified Arabic" w:cs="Simplified Arabic"/>
          <w:b/>
          <w:bCs/>
          <w:sz w:val="28"/>
          <w:szCs w:val="28"/>
          <w:rtl/>
          <w:lang w:bidi="ar-IQ"/>
        </w:rPr>
        <w:t>طباطبا</w:t>
      </w:r>
      <w:proofErr w:type="spellEnd"/>
      <w:r w:rsidRPr="009661D1">
        <w:rPr>
          <w:rFonts w:ascii="Simplified Arabic" w:hAnsi="Simplified Arabic" w:cs="Simplified Arabic"/>
          <w:b/>
          <w:bCs/>
          <w:sz w:val="28"/>
          <w:szCs w:val="28"/>
          <w:rtl/>
          <w:lang w:bidi="ar-IQ"/>
        </w:rPr>
        <w:t xml:space="preserve"> عن علي بن عيسى الربعي تلميذ أبي علي. ويذكر ابن خلكان من تصانيفه شرح كتابي ابن جني: اللمع والتصريف. وطبع له بحيدر آباد </w:t>
      </w:r>
      <w:proofErr w:type="spellStart"/>
      <w:r w:rsidRPr="009661D1">
        <w:rPr>
          <w:rFonts w:ascii="Simplified Arabic" w:hAnsi="Simplified Arabic" w:cs="Simplified Arabic"/>
          <w:b/>
          <w:bCs/>
          <w:sz w:val="28"/>
          <w:szCs w:val="28"/>
          <w:rtl/>
          <w:lang w:bidi="ar-IQ"/>
        </w:rPr>
        <w:t>أماليه</w:t>
      </w:r>
      <w:proofErr w:type="spellEnd"/>
      <w:r w:rsidRPr="009661D1">
        <w:rPr>
          <w:rFonts w:ascii="Simplified Arabic" w:hAnsi="Simplified Arabic" w:cs="Simplified Arabic"/>
          <w:b/>
          <w:bCs/>
          <w:sz w:val="28"/>
          <w:szCs w:val="28"/>
          <w:rtl/>
          <w:lang w:bidi="ar-IQ"/>
        </w:rPr>
        <w:t xml:space="preserve"> في النحو واللغة والأدب، وهو فيها يُكثر من ذكر كتب أبي علي مثل الإيضاح والتذكرة والحجة في علل القراءات السبع, ناقلا عنها آراءه. ونراه منذ فاتحة </w:t>
      </w:r>
      <w:proofErr w:type="spellStart"/>
      <w:r w:rsidRPr="009661D1">
        <w:rPr>
          <w:rFonts w:ascii="Simplified Arabic" w:hAnsi="Simplified Arabic" w:cs="Simplified Arabic"/>
          <w:b/>
          <w:bCs/>
          <w:sz w:val="28"/>
          <w:szCs w:val="28"/>
          <w:rtl/>
          <w:lang w:bidi="ar-IQ"/>
        </w:rPr>
        <w:t>أماليه</w:t>
      </w:r>
      <w:proofErr w:type="spellEnd"/>
      <w:r w:rsidRPr="009661D1">
        <w:rPr>
          <w:rFonts w:ascii="Simplified Arabic" w:hAnsi="Simplified Arabic" w:cs="Simplified Arabic"/>
          <w:b/>
          <w:bCs/>
          <w:sz w:val="28"/>
          <w:szCs w:val="28"/>
          <w:rtl/>
          <w:lang w:bidi="ar-IQ"/>
        </w:rPr>
        <w:t xml:space="preserve"> معجبا بالبصريين على شاكلة الفارسي وابن جني وهو إعجاب جعله يقول في حجج الكوفيين: "ولنحاة الكوفيين في أكثر كلامهم تهاويل فارغة من الحقيقة"2. ومن آرائه التي خالف فيها جمهور النحاة, ذهابه إلى أن لو الشرطية تجزم المضارع حين تدخل عليه لقول بعض الشعراء:</w:t>
      </w:r>
    </w:p>
    <w:p w:rsidR="009661D1" w:rsidRPr="009661D1" w:rsidRDefault="009661D1" w:rsidP="009661D1">
      <w:pPr>
        <w:jc w:val="both"/>
        <w:rPr>
          <w:rFonts w:ascii="Simplified Arabic" w:hAnsi="Simplified Arabic" w:cs="Simplified Arabic"/>
          <w:b/>
          <w:bCs/>
          <w:sz w:val="28"/>
          <w:szCs w:val="28"/>
          <w:rtl/>
          <w:lang w:bidi="ar-IQ"/>
        </w:rPr>
      </w:pPr>
      <w:r w:rsidRPr="009661D1">
        <w:rPr>
          <w:rFonts w:ascii="Simplified Arabic" w:hAnsi="Simplified Arabic" w:cs="Simplified Arabic"/>
          <w:b/>
          <w:bCs/>
          <w:sz w:val="28"/>
          <w:szCs w:val="28"/>
          <w:rtl/>
          <w:lang w:bidi="ar-IQ"/>
        </w:rPr>
        <w:t>لو يَشَأْ طار به ذو ميعة ... لاحق الآطال نهد ذو خصل3</w:t>
      </w:r>
    </w:p>
    <w:p w:rsidR="009661D1" w:rsidRPr="009661D1" w:rsidRDefault="009661D1" w:rsidP="009661D1">
      <w:pPr>
        <w:jc w:val="both"/>
        <w:rPr>
          <w:rFonts w:ascii="Simplified Arabic" w:hAnsi="Simplified Arabic" w:cs="Simplified Arabic"/>
          <w:b/>
          <w:bCs/>
          <w:sz w:val="28"/>
          <w:szCs w:val="28"/>
          <w:rtl/>
          <w:lang w:bidi="ar-IQ"/>
        </w:rPr>
      </w:pPr>
      <w:r w:rsidRPr="009661D1">
        <w:rPr>
          <w:rFonts w:ascii="Simplified Arabic" w:hAnsi="Simplified Arabic" w:cs="Simplified Arabic"/>
          <w:b/>
          <w:bCs/>
          <w:sz w:val="28"/>
          <w:szCs w:val="28"/>
          <w:rtl/>
          <w:lang w:bidi="ar-IQ"/>
        </w:rPr>
        <w:lastRenderedPageBreak/>
        <w:t>ورُد بأن ذلك ضرورة شعرية, أو لعل الشاعر خفف نهاية الفعل يشأ, ونطقه</w:t>
      </w:r>
      <w:r>
        <w:rPr>
          <w:rFonts w:ascii="Simplified Arabic" w:hAnsi="Simplified Arabic" w:cs="Simplified Arabic" w:hint="cs"/>
          <w:sz w:val="28"/>
          <w:szCs w:val="28"/>
          <w:rtl/>
          <w:lang w:bidi="ar-IQ"/>
        </w:rPr>
        <w:t xml:space="preserve"> </w:t>
      </w:r>
      <w:r w:rsidRPr="009661D1">
        <w:rPr>
          <w:rFonts w:ascii="Simplified Arabic" w:hAnsi="Simplified Arabic" w:cs="Simplified Arabic"/>
          <w:b/>
          <w:bCs/>
          <w:sz w:val="28"/>
          <w:szCs w:val="28"/>
          <w:rtl/>
          <w:lang w:bidi="ar-IQ"/>
        </w:rPr>
        <w:t xml:space="preserve">بألف مقصورة1. وذهب إلى أن "إذ" في مثل: "فبينما العسرُ إذ دارت مياسيرُ" زائدة، وكان سيبويه يذهب إلى أنها بعد بينا وبينما نفس إذ الفجائية، وقد اختلف النحاة فيها: هل هي حرف أو ظرف؟ 2. ويظهر أنه كانت تنقصه الدقة، فقد تعقبه ابن هشام في عدة مواضع من كتابه المغني </w:t>
      </w:r>
      <w:proofErr w:type="spellStart"/>
      <w:r w:rsidRPr="009661D1">
        <w:rPr>
          <w:rFonts w:ascii="Simplified Arabic" w:hAnsi="Simplified Arabic" w:cs="Simplified Arabic"/>
          <w:b/>
          <w:bCs/>
          <w:sz w:val="28"/>
          <w:szCs w:val="28"/>
          <w:rtl/>
          <w:lang w:bidi="ar-IQ"/>
        </w:rPr>
        <w:t>مغلطا</w:t>
      </w:r>
      <w:proofErr w:type="spellEnd"/>
      <w:r w:rsidRPr="009661D1">
        <w:rPr>
          <w:rFonts w:ascii="Simplified Arabic" w:hAnsi="Simplified Arabic" w:cs="Simplified Arabic"/>
          <w:b/>
          <w:bCs/>
          <w:sz w:val="28"/>
          <w:szCs w:val="28"/>
          <w:rtl/>
          <w:lang w:bidi="ar-IQ"/>
        </w:rPr>
        <w:t xml:space="preserve"> له3، ومثبتا عليه عدم التحري في نقل آراء الفارسي وسيبويه والأخفش والكسائي4.</w:t>
      </w:r>
    </w:p>
    <w:p w:rsidR="007D1295" w:rsidRDefault="009661D1" w:rsidP="009661D1">
      <w:pPr>
        <w:jc w:val="both"/>
        <w:rPr>
          <w:rFonts w:ascii="Simplified Arabic" w:hAnsi="Simplified Arabic" w:cs="Simplified Arabic" w:hint="cs"/>
          <w:sz w:val="28"/>
          <w:szCs w:val="28"/>
          <w:rtl/>
          <w:lang w:bidi="ar-IQ"/>
        </w:rPr>
      </w:pPr>
      <w:r w:rsidRPr="009661D1">
        <w:rPr>
          <w:rFonts w:ascii="Simplified Arabic" w:hAnsi="Simplified Arabic" w:cs="Simplified Arabic"/>
          <w:b/>
          <w:bCs/>
          <w:sz w:val="28"/>
          <w:szCs w:val="28"/>
          <w:rtl/>
          <w:lang w:bidi="ar-IQ"/>
        </w:rPr>
        <w:t>وأبو البركات5 بن الأنباري بغدادي، ولد سنة 513 وتوفي سنة 577 للهجرة، وهو تلميذ ابن الشجري، وبذلك يتصل نسبه النحوي بأبي علي الفارسي، ويظهر أنه كان يعكف على مصنفاته، ويدرسها لتلاميذه في المدرسة النظامية، إذ نجد بين مؤلفاته كتاب حواشي الإيضاح، وهو من أهم مصنفات الفارسي. وتوفر على دراسة وجوه الخلاف بين البصريين والكوفيين في مسائل النحو، وصنف في ذلك كتابين هما: الإنصاف الذي نشره فايل لأول مرة وكتابه أسرار العربية المنشور بدمشق، ولاحظ فايل أنه ينزع في أولهما نزعة بصرية واضحة، وهي نزعة استمدها من أبي علي الفارسي ومنهجه الذي وصفناه. وقد وقف مع البصريين في جمهور المسائل التي أحصاها، ورجح -كما لاحظ فايل- مذهب الكوفيين في سبع مسائل هي: العاشرة والثامنة عشرة والسادسة والعشرون والسبعون والسابعة والتسعون والواحدة والسادسة بعد المائة. وبذلك يصبح بغداديا على شاكلة أبي علي، فهو يجري في جمهور آرائه مع البصريين، ويفتح الأبواب لاختيار بعض آراء الكوفيين. وله في علم الجدل النحوي مصنف غير منشور، ومصنف آخر في أصول النحو سماه لُمَع الأدلة، منشور بدمشق، فصَّل القول فيه في النقل والقياس والعلة، ونُشر معه مصنف له باسم الإغراب في جدل الإعراب، وهو يدور على أسئلة في الإعراب وأجوبة مسندة بالأدلة, وكتابه نزهة الألباء في تراجم النحاة معروف.</w:t>
      </w:r>
    </w:p>
    <w:p w:rsidR="009661D1" w:rsidRPr="009661D1" w:rsidRDefault="009661D1" w:rsidP="009661D1">
      <w:pPr>
        <w:jc w:val="both"/>
        <w:rPr>
          <w:rFonts w:ascii="Simplified Arabic" w:hAnsi="Simplified Arabic" w:cs="Simplified Arabic"/>
          <w:b/>
          <w:bCs/>
          <w:sz w:val="28"/>
          <w:szCs w:val="28"/>
          <w:rtl/>
          <w:lang w:bidi="ar-IQ"/>
        </w:rPr>
      </w:pPr>
      <w:r w:rsidRPr="009661D1">
        <w:rPr>
          <w:rFonts w:ascii="Simplified Arabic" w:hAnsi="Simplified Arabic" w:cs="Simplified Arabic"/>
          <w:b/>
          <w:bCs/>
          <w:sz w:val="28"/>
          <w:szCs w:val="28"/>
          <w:rtl/>
          <w:lang w:bidi="ar-IQ"/>
        </w:rPr>
        <w:t xml:space="preserve">وأبو البقاء1 العكبري النحوي الضرير، بغدادي مثل سالفيه، ولد سنة 538 وتوفي سنة 616 للهجرة، وصلته بالشيخين أبي علي الفارسي وابن جني تتضح في شرحه لإيضاح الأول ولمع الثاني، وأيضا في مصنفاته: "الإفصاح عن معاني أبيات الإيضاح" و"تلخيص أبيات الشعر لأبي علي" و"تلخيص التنبيه لابن جني" و"المنتخب من كتاب المحتسب". وله مؤلفات مختلفة في النحو </w:t>
      </w:r>
      <w:r w:rsidRPr="009661D1">
        <w:rPr>
          <w:rFonts w:ascii="Simplified Arabic" w:hAnsi="Simplified Arabic" w:cs="Simplified Arabic"/>
          <w:b/>
          <w:bCs/>
          <w:sz w:val="28"/>
          <w:szCs w:val="28"/>
          <w:rtl/>
          <w:lang w:bidi="ar-IQ"/>
        </w:rPr>
        <w:lastRenderedPageBreak/>
        <w:t xml:space="preserve">وعلله ومسائل الخلاف فيه. وكان يعنى بقراءات الذكر الحكيم ونُشر له في مصر كتاب إعراب القرآن والقراءات في جزأين، وهو من صفحاته بل سطوره الأولى يجري في إعراب الألفاظ على المذهب البصري فالمبتدأ مرفوع بالابتداء وهلم جرا، ويتوقف مرارا ليرد على الكوفيين بعض وجوههم في الإعراب، وإذا رجعنا إلى آرائه المنثورة في كتب النحو وجدناه يتبع الفارسي في كثير منها، فقد كان يرى رأيه ورأي الفراء قبله في أن "لو" تأتي مصدرية غير عاملة في مثل: {يَوَدُّ أَحَدُهُمْ لَوْ يُعَمَّرُ أَلْفَ سَنَةٍ} ويشهد لهم قراءة بعضهم: {وَدُّوا لَوْ تُدْهِنُ فَيُدْهِنُوا} بحذف نون الفعل الأخير؛ لعطفه بالنصب على {لَوْ تُدْهِنُ} وكأنها في مكان: أن تدهن2. ورأى رأي الفارسي أيضا في أن ما قد تأتي زمانية على نحو إتيانها في الآية الكريمة: {فَمَا اسْتَقَامُوا لَكُمْ فَاسْتَقِيمُوا لَهُمْ} أي: استقيموا لهم مدة استقامتهم لكم3. وتابعه في إعراب ذلك في قوله تعالى: {وَلِبَاسُ التَّقْوَى ذَلِكَ خَيْرٌ} صفة للباس، والمشهور أنها بدل أو بيان4. وكان يختار لنفسه أحيانا من آراء الكوفيين، فقد كان يمنع مثل ثعلب أن تكون </w:t>
      </w:r>
      <w:proofErr w:type="spellStart"/>
      <w:r w:rsidRPr="009661D1">
        <w:rPr>
          <w:rFonts w:ascii="Simplified Arabic" w:hAnsi="Simplified Arabic" w:cs="Simplified Arabic"/>
          <w:b/>
          <w:bCs/>
          <w:sz w:val="28"/>
          <w:szCs w:val="28"/>
          <w:rtl/>
          <w:lang w:bidi="ar-IQ"/>
        </w:rPr>
        <w:t>منذا</w:t>
      </w:r>
      <w:proofErr w:type="spellEnd"/>
      <w:r w:rsidRPr="009661D1">
        <w:rPr>
          <w:rFonts w:ascii="Simplified Arabic" w:hAnsi="Simplified Arabic" w:cs="Simplified Arabic"/>
          <w:b/>
          <w:bCs/>
          <w:sz w:val="28"/>
          <w:szCs w:val="28"/>
          <w:rtl/>
          <w:lang w:bidi="ar-IQ"/>
        </w:rPr>
        <w:t xml:space="preserve"> مركبة تركيب ماذا بحيث يمكن إعرابها في مثل: "</w:t>
      </w:r>
      <w:proofErr w:type="spellStart"/>
      <w:r w:rsidRPr="009661D1">
        <w:rPr>
          <w:rFonts w:ascii="Simplified Arabic" w:hAnsi="Simplified Arabic" w:cs="Simplified Arabic"/>
          <w:b/>
          <w:bCs/>
          <w:sz w:val="28"/>
          <w:szCs w:val="28"/>
          <w:rtl/>
          <w:lang w:bidi="ar-IQ"/>
        </w:rPr>
        <w:t>منذا</w:t>
      </w:r>
      <w:proofErr w:type="spellEnd"/>
      <w:r w:rsidRPr="009661D1">
        <w:rPr>
          <w:rFonts w:ascii="Simplified Arabic" w:hAnsi="Simplified Arabic" w:cs="Simplified Arabic"/>
          <w:b/>
          <w:bCs/>
          <w:sz w:val="28"/>
          <w:szCs w:val="28"/>
          <w:rtl/>
          <w:lang w:bidi="ar-IQ"/>
        </w:rPr>
        <w:t xml:space="preserve"> لقيت" مفعولا به، وهي عندهما مبتدأ وخبر، وذا اسم موصول، ولقيت صلته، وكان يعلل لذلك بأن ما أكثر إبهاما من أختها مَنْ، فحسن أن تُجعل مع غيرها كشيء واحد، ولأن التركيب خلاف الأصل5. وهو بذلك بغدادي من مدرسة أبي علي الفارسي، التي كانت تعول على الاختيار والانتخاب من آراء النحاة السابقين، ومن ثم كان الدكتور مصطفى جواد محقا حين اتهم نسبة شرح ديوان المتنبي المطبوع</w:t>
      </w:r>
      <w:r>
        <w:rPr>
          <w:rFonts w:ascii="Simplified Arabic" w:hAnsi="Simplified Arabic" w:cs="Simplified Arabic" w:hint="cs"/>
          <w:sz w:val="28"/>
          <w:szCs w:val="28"/>
          <w:rtl/>
          <w:lang w:bidi="ar-IQ"/>
        </w:rPr>
        <w:t xml:space="preserve"> </w:t>
      </w:r>
      <w:r w:rsidRPr="009661D1">
        <w:rPr>
          <w:rFonts w:ascii="Simplified Arabic" w:hAnsi="Simplified Arabic" w:cs="Simplified Arabic"/>
          <w:b/>
          <w:bCs/>
          <w:sz w:val="28"/>
          <w:szCs w:val="28"/>
          <w:rtl/>
          <w:lang w:bidi="ar-IQ"/>
        </w:rPr>
        <w:t>باسم التبيان في شرح الديوان إليه؛ لما يردد شارحه فيه من أنه كوفي وعلى مذهب الكوفيين1.</w:t>
      </w:r>
    </w:p>
    <w:p w:rsidR="009661D1" w:rsidRPr="009661D1" w:rsidRDefault="009661D1" w:rsidP="009661D1">
      <w:pPr>
        <w:jc w:val="both"/>
        <w:rPr>
          <w:rFonts w:ascii="Simplified Arabic" w:hAnsi="Simplified Arabic" w:cs="Simplified Arabic"/>
          <w:b/>
          <w:bCs/>
          <w:sz w:val="28"/>
          <w:szCs w:val="28"/>
          <w:rtl/>
          <w:lang w:bidi="ar-IQ"/>
        </w:rPr>
      </w:pPr>
      <w:r w:rsidRPr="009661D1">
        <w:rPr>
          <w:rFonts w:ascii="Simplified Arabic" w:hAnsi="Simplified Arabic" w:cs="Simplified Arabic"/>
          <w:b/>
          <w:bCs/>
          <w:sz w:val="28"/>
          <w:szCs w:val="28"/>
          <w:rtl/>
          <w:lang w:bidi="ar-IQ"/>
        </w:rPr>
        <w:t xml:space="preserve">ويعيش2 بن علي بن يعيش موصلي الأصل حلبي الدار والمولد، وكان مولده سنة 556 وأقبل على تعلم العربية منذ نعومة أظفاره، ورحل إلى بغداد ودمشق يتلقى عن الشيوخ، وعاد إلى حلب فتصدر الإقراء بها إلى أن توفي سنة 643 للهجرة. وصلته بالمدرسة البغدادية تتضح في شرحه كتاب التصريف الملوكي لابن جني. وأهم مصنفاته النحوية شرحه على مفصل الزمخشري، وهو مطبوع بالقاهرة في عشرة مجلدات, صنَّفه -كما يقول في مقدمته- في سن السبعين، وهو أشبه بدائرة معارف لآراء النحاة من بصريين وكوفيين وبغداديين، حتى كأنه لم يترك مصنفا لعَلَم من </w:t>
      </w:r>
      <w:r w:rsidRPr="009661D1">
        <w:rPr>
          <w:rFonts w:ascii="Simplified Arabic" w:hAnsi="Simplified Arabic" w:cs="Simplified Arabic"/>
          <w:b/>
          <w:bCs/>
          <w:sz w:val="28"/>
          <w:szCs w:val="28"/>
          <w:rtl/>
          <w:lang w:bidi="ar-IQ"/>
        </w:rPr>
        <w:lastRenderedPageBreak/>
        <w:t xml:space="preserve">أعلامهم إلا استوعبه وتمثل كل ما فيه من آراء تمثلا منقطع القرين. ويلقانا منذ الصفحات الأولى منتصرا للبصريين، فقد انتصر لرأيهم في أن الاسم مشتق من السموّ لا من السمة كما قال الكوفيون3، ولا يلبث أن نراه يعرض آراء سيبويه والأخفش والجرمي والمازني والكوفيين في إعراب الأسماء الخمسة، ويوهن في صراحة آراء الكوفيين والمازني والجرمي زاعما أنه خُولف في هذه الأسماء القياس بحذف </w:t>
      </w:r>
      <w:proofErr w:type="spellStart"/>
      <w:r w:rsidRPr="009661D1">
        <w:rPr>
          <w:rFonts w:ascii="Simplified Arabic" w:hAnsi="Simplified Arabic" w:cs="Simplified Arabic"/>
          <w:b/>
          <w:bCs/>
          <w:sz w:val="28"/>
          <w:szCs w:val="28"/>
          <w:rtl/>
          <w:lang w:bidi="ar-IQ"/>
        </w:rPr>
        <w:t>لاماتها</w:t>
      </w:r>
      <w:proofErr w:type="spellEnd"/>
      <w:r w:rsidRPr="009661D1">
        <w:rPr>
          <w:rFonts w:ascii="Simplified Arabic" w:hAnsi="Simplified Arabic" w:cs="Simplified Arabic"/>
          <w:b/>
          <w:bCs/>
          <w:sz w:val="28"/>
          <w:szCs w:val="28"/>
          <w:rtl/>
          <w:lang w:bidi="ar-IQ"/>
        </w:rPr>
        <w:t xml:space="preserve"> في حال إفرادها؛ لأنك إذا قلت: أخ, فأصله: أخو وأب فأصله: أبو، والذي يدل على ذلك قولهم في التثنية: أبوان </w:t>
      </w:r>
      <w:proofErr w:type="spellStart"/>
      <w:r w:rsidRPr="009661D1">
        <w:rPr>
          <w:rFonts w:ascii="Simplified Arabic" w:hAnsi="Simplified Arabic" w:cs="Simplified Arabic"/>
          <w:b/>
          <w:bCs/>
          <w:sz w:val="28"/>
          <w:szCs w:val="28"/>
          <w:rtl/>
          <w:lang w:bidi="ar-IQ"/>
        </w:rPr>
        <w:t>وأخوان</w:t>
      </w:r>
      <w:proofErr w:type="spellEnd"/>
      <w:r w:rsidRPr="009661D1">
        <w:rPr>
          <w:rFonts w:ascii="Simplified Arabic" w:hAnsi="Simplified Arabic" w:cs="Simplified Arabic"/>
          <w:b/>
          <w:bCs/>
          <w:sz w:val="28"/>
          <w:szCs w:val="28"/>
          <w:rtl/>
          <w:lang w:bidi="ar-IQ"/>
        </w:rPr>
        <w:t xml:space="preserve"> ... وكان مقتضى القياس أن تقلب الواو فيها ألفا لتحركها وانفتاح ما قبلها، إلا أنهم حذفوها تخفيفا4.</w:t>
      </w:r>
    </w:p>
    <w:p w:rsidR="009661D1" w:rsidRPr="003F1467" w:rsidRDefault="009661D1" w:rsidP="009661D1">
      <w:pPr>
        <w:jc w:val="both"/>
        <w:rPr>
          <w:rFonts w:ascii="Simplified Arabic" w:hAnsi="Simplified Arabic" w:cs="Simplified Arabic"/>
          <w:sz w:val="28"/>
          <w:szCs w:val="28"/>
          <w:lang w:bidi="ar-IQ"/>
        </w:rPr>
      </w:pPr>
      <w:r w:rsidRPr="009661D1">
        <w:rPr>
          <w:rFonts w:ascii="Simplified Arabic" w:hAnsi="Simplified Arabic" w:cs="Simplified Arabic"/>
          <w:b/>
          <w:bCs/>
          <w:sz w:val="28"/>
          <w:szCs w:val="28"/>
          <w:rtl/>
          <w:lang w:bidi="ar-IQ"/>
        </w:rPr>
        <w:t>ويعرض لرأي سيبويه والكسائي في التنازع وما ذهب إليه الأول من أن في ضربني في مثل: ضربني وضرب زيدا, فاعلا مضمرا دل عليه مفعول ضربت، وما ذهب إليه الكسائي من أن ضربني لا فاعل لها، بل فاعلها محذوف، ويعلق على ذلك بأن رأي سيبويه هو الصحيح ويحتج له5. وينتصر لرأي البصريين في</w:t>
      </w:r>
      <w:r>
        <w:rPr>
          <w:rFonts w:ascii="Simplified Arabic" w:hAnsi="Simplified Arabic" w:cs="Simplified Arabic" w:hint="cs"/>
          <w:sz w:val="28"/>
          <w:szCs w:val="28"/>
          <w:rtl/>
          <w:lang w:bidi="ar-IQ"/>
        </w:rPr>
        <w:t xml:space="preserve"> </w:t>
      </w:r>
      <w:r w:rsidRPr="009661D1">
        <w:rPr>
          <w:rFonts w:ascii="Simplified Arabic" w:hAnsi="Simplified Arabic" w:cs="Simplified Arabic"/>
          <w:b/>
          <w:bCs/>
          <w:sz w:val="28"/>
          <w:szCs w:val="28"/>
          <w:rtl/>
          <w:lang w:bidi="ar-IQ"/>
        </w:rPr>
        <w:t xml:space="preserve">أن عامل المبتدأ هو الابتداء لا الخبر كما قال الكوفيون1. ويهاجم رأي الكوفيين القائل بأن عندك في مثل: محمد عندك, منصوب بالخلاف2، ويضعف رأيهم في أن الاسم الواقع بعد لولا يرتفع بها لنيابتها عن الفعل3، كما يضعف رأيهم في أنّ إنّ وأخواتها لا تعمل الرفع في الخبر وإنما هو مرفوع على حاله قبل دخول إن وصواحبها4. وعلى هذا النحو لا يزال ابن يعيش يضعف آراء الكوفيين ويقوي آراء البصريين، ويلقانا من حين إلى حين استحسانه لبعض آراء الكوفيين كاستحسانه تخريجهم لقراءة: {إِنْ هَذَانِ لَسَاحِرَانِ} على أن إن نافية واللام بمعنى إلا، والتقدير: ما هذان إلا ساحران، يقول: وهو تقدير حسن5. وجوز رأي الكسائي في أن "حيث" قد تضاف إلى المفرد وقال: إنها لغة كقول بعضهم: "حيث ليّ العمائم"6. وذهب مع الفراء والزمخشري إلى أن لو تأتي للتمني وحينئذ تكون مصدرية مثل أن7, وكان يجوز مع الكوفيين صرف ما لا ينصرف في ضرورة الشعر8, وكان يستحسن رأي أبي علي الفارسي في أن المعطوف في مثل: قام محمد وعمر معمول لفعل محذوف من جنس الفعل الأول9، وكذلك رأيه في أن اللام الداخلة أو اللازمة مع إن الملغاة فارقة بينها وبين إن النافية10. واحتج لرأيه في أن إما في مثل: </w:t>
      </w:r>
      <w:r w:rsidRPr="009661D1">
        <w:rPr>
          <w:rFonts w:ascii="Simplified Arabic" w:hAnsi="Simplified Arabic" w:cs="Simplified Arabic"/>
          <w:b/>
          <w:bCs/>
          <w:sz w:val="28"/>
          <w:szCs w:val="28"/>
          <w:rtl/>
          <w:lang w:bidi="ar-IQ"/>
        </w:rPr>
        <w:lastRenderedPageBreak/>
        <w:t>جاء إما علي وإما عمر ليست عاطفة11. ولعلنا لا نبعد إذا قلنا: إنه كان أكثر البغداديين المتأخرين انتصارا وحماسة للبصريين.</w:t>
      </w:r>
      <w:bookmarkStart w:id="0" w:name="_GoBack"/>
      <w:bookmarkEnd w:id="0"/>
    </w:p>
    <w:sectPr w:rsidR="009661D1" w:rsidRPr="003F1467" w:rsidSect="008912B0">
      <w:footerReference w:type="default" r:id="rId7"/>
      <w:pgSz w:w="12240" w:h="15840"/>
      <w:pgMar w:top="1440" w:right="1800" w:bottom="1440" w:left="180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691" w:rsidRDefault="009D7691">
      <w:pPr>
        <w:spacing w:after="0" w:line="240" w:lineRule="auto"/>
      </w:pPr>
      <w:r>
        <w:separator/>
      </w:r>
    </w:p>
  </w:endnote>
  <w:endnote w:type="continuationSeparator" w:id="0">
    <w:p w:rsidR="009D7691" w:rsidRDefault="009D7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84171"/>
      <w:docPartObj>
        <w:docPartGallery w:val="Page Numbers (Bottom of Page)"/>
        <w:docPartUnique/>
      </w:docPartObj>
    </w:sdtPr>
    <w:sdtEndPr/>
    <w:sdtContent>
      <w:p w:rsidR="0029483E" w:rsidRDefault="00096E70">
        <w:pPr>
          <w:pStyle w:val="a3"/>
          <w:jc w:val="center"/>
        </w:pPr>
        <w:r>
          <w:fldChar w:fldCharType="begin"/>
        </w:r>
        <w:r>
          <w:instrText>PAGE   \* MERGEFORMAT</w:instrText>
        </w:r>
        <w:r>
          <w:fldChar w:fldCharType="separate"/>
        </w:r>
        <w:r w:rsidR="009661D1" w:rsidRPr="009661D1">
          <w:rPr>
            <w:rFonts w:cs="Calibri"/>
            <w:noProof/>
            <w:lang w:val="ar-SA"/>
          </w:rPr>
          <w:t>5</w:t>
        </w:r>
        <w:r>
          <w:fldChar w:fldCharType="end"/>
        </w:r>
      </w:p>
    </w:sdtContent>
  </w:sdt>
  <w:p w:rsidR="0029483E" w:rsidRDefault="009D7691">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691" w:rsidRDefault="009D7691">
      <w:pPr>
        <w:spacing w:after="0" w:line="240" w:lineRule="auto"/>
      </w:pPr>
      <w:r>
        <w:separator/>
      </w:r>
    </w:p>
  </w:footnote>
  <w:footnote w:type="continuationSeparator" w:id="0">
    <w:p w:rsidR="009D7691" w:rsidRDefault="009D76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0A5"/>
    <w:rsid w:val="0009293C"/>
    <w:rsid w:val="00096E70"/>
    <w:rsid w:val="0012635D"/>
    <w:rsid w:val="0016277D"/>
    <w:rsid w:val="003F1467"/>
    <w:rsid w:val="004761D9"/>
    <w:rsid w:val="0067437E"/>
    <w:rsid w:val="006D3B18"/>
    <w:rsid w:val="00762E57"/>
    <w:rsid w:val="007D1295"/>
    <w:rsid w:val="008F7AE9"/>
    <w:rsid w:val="009661D1"/>
    <w:rsid w:val="00983DBA"/>
    <w:rsid w:val="009D7691"/>
    <w:rsid w:val="00BD365B"/>
    <w:rsid w:val="00C62AFD"/>
    <w:rsid w:val="00D01152"/>
    <w:rsid w:val="00D460A5"/>
    <w:rsid w:val="00DC4826"/>
    <w:rsid w:val="00E42BE9"/>
    <w:rsid w:val="00E86D59"/>
    <w:rsid w:val="00EA7C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1127</Words>
  <Characters>6430</Characters>
  <Application>Microsoft Office Word</Application>
  <DocSecurity>0</DocSecurity>
  <Lines>53</Lines>
  <Paragraphs>15</Paragraphs>
  <ScaleCrop>false</ScaleCrop>
  <Company>SACC - ANAS</Company>
  <LinksUpToDate>false</LinksUpToDate>
  <CharactersWithSpaces>7542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21</cp:revision>
  <dcterms:created xsi:type="dcterms:W3CDTF">2017-10-13T19:51:00Z</dcterms:created>
  <dcterms:modified xsi:type="dcterms:W3CDTF">2018-01-12T20:56:00Z</dcterms:modified>
</cp:coreProperties>
</file>