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1656" w:rsidRPr="00D41656" w:rsidRDefault="00D41656" w:rsidP="00D41656">
      <w:pPr>
        <w:spacing w:after="0" w:line="240" w:lineRule="auto"/>
        <w:jc w:val="center"/>
        <w:rPr>
          <w:rFonts w:ascii="Simplified Arabic" w:eastAsia="Calibri" w:hAnsi="Simplified Arabic" w:cs="Simplified Arabic"/>
          <w:sz w:val="28"/>
          <w:szCs w:val="28"/>
          <w:u w:val="single"/>
          <w:rtl/>
          <w:lang w:bidi="ar-IQ"/>
        </w:rPr>
      </w:pPr>
      <w:r w:rsidRPr="00D41656">
        <w:rPr>
          <w:rFonts w:ascii="Simplified Arabic" w:eastAsia="Calibri" w:hAnsi="Simplified Arabic" w:cs="Simplified Arabic"/>
          <w:sz w:val="28"/>
          <w:szCs w:val="28"/>
          <w:u w:val="single"/>
          <w:rtl/>
          <w:lang w:bidi="ar-IQ"/>
        </w:rPr>
        <w:t>المدرسة الأندلسية</w:t>
      </w:r>
    </w:p>
    <w:p w:rsidR="008E2001" w:rsidRPr="008E2001" w:rsidRDefault="008E2001" w:rsidP="008E2001">
      <w:pPr>
        <w:jc w:val="both"/>
        <w:rPr>
          <w:rFonts w:ascii="Simplified Arabic" w:hAnsi="Simplified Arabic" w:cs="Simplified Arabic"/>
          <w:b/>
          <w:bCs/>
          <w:sz w:val="28"/>
          <w:szCs w:val="28"/>
          <w:rtl/>
          <w:lang w:bidi="ar-IQ"/>
        </w:rPr>
      </w:pPr>
      <w:r>
        <w:rPr>
          <w:rFonts w:ascii="Simplified Arabic" w:hAnsi="Simplified Arabic" w:cs="Simplified Arabic"/>
          <w:b/>
          <w:bCs/>
          <w:sz w:val="28"/>
          <w:szCs w:val="28"/>
          <w:rtl/>
          <w:lang w:bidi="ar-IQ"/>
        </w:rPr>
        <w:t>ابن</w:t>
      </w:r>
      <w:r w:rsidRPr="008E2001">
        <w:rPr>
          <w:rFonts w:ascii="Simplified Arabic" w:hAnsi="Simplified Arabic" w:cs="Simplified Arabic"/>
          <w:b/>
          <w:bCs/>
          <w:sz w:val="28"/>
          <w:szCs w:val="28"/>
          <w:rtl/>
          <w:lang w:bidi="ar-IQ"/>
        </w:rPr>
        <w:t xml:space="preserve"> مضاء:</w:t>
      </w:r>
    </w:p>
    <w:p w:rsidR="00D41656" w:rsidRDefault="008E2001" w:rsidP="008E2001">
      <w:pPr>
        <w:jc w:val="both"/>
        <w:rPr>
          <w:rFonts w:ascii="Simplified Arabic" w:hAnsi="Simplified Arabic" w:cs="Simplified Arabic" w:hint="cs"/>
          <w:b/>
          <w:bCs/>
          <w:sz w:val="28"/>
          <w:szCs w:val="28"/>
          <w:rtl/>
          <w:lang w:bidi="ar-IQ"/>
        </w:rPr>
      </w:pPr>
      <w:r w:rsidRPr="008E2001">
        <w:rPr>
          <w:rFonts w:ascii="Simplified Arabic" w:hAnsi="Simplified Arabic" w:cs="Simplified Arabic"/>
          <w:b/>
          <w:bCs/>
          <w:sz w:val="28"/>
          <w:szCs w:val="28"/>
          <w:rtl/>
          <w:lang w:bidi="ar-IQ"/>
        </w:rPr>
        <w:t xml:space="preserve">هو أبو العباس أحمد بن عبد الرحمن بن محمد بن مضاء اللخمي القرطبي المتوفى سنة 592 للهجرة، أخذ عن ابن الرماك كتاب سيبويه، وكان حجة في الفقه الظاهري والحديث النبوي، </w:t>
      </w:r>
      <w:proofErr w:type="spellStart"/>
      <w:r w:rsidRPr="008E2001">
        <w:rPr>
          <w:rFonts w:ascii="Simplified Arabic" w:hAnsi="Simplified Arabic" w:cs="Simplified Arabic"/>
          <w:b/>
          <w:bCs/>
          <w:sz w:val="28"/>
          <w:szCs w:val="28"/>
          <w:rtl/>
          <w:lang w:bidi="ar-IQ"/>
        </w:rPr>
        <w:t>فولاه</w:t>
      </w:r>
      <w:proofErr w:type="spellEnd"/>
      <w:r w:rsidRPr="008E2001">
        <w:rPr>
          <w:rFonts w:ascii="Simplified Arabic" w:hAnsi="Simplified Arabic" w:cs="Simplified Arabic"/>
          <w:b/>
          <w:bCs/>
          <w:sz w:val="28"/>
          <w:szCs w:val="28"/>
          <w:rtl/>
          <w:lang w:bidi="ar-IQ"/>
        </w:rPr>
        <w:t xml:space="preserve"> الموحدون قضاء فاس، ثم ولوه قضاء الجماعة، وكان طبيعيا أن يحمل حملتهم على أصحاب المذاهب الفقهية: المالكية والحنفية والشافعية والحنبلية لما ملئوا به كتبهم من فروع، بل لقد تحولوا بحملتهم إلى ما يشبه ثورة عنيفة. فإذا هم يأمرون بإحراق كثير من تلك الكتب وحمل الناس في دولتهم بالمغرب والأندلس على المذهب الظاهري الذي يرفض</w:t>
      </w:r>
      <w:r>
        <w:rPr>
          <w:rFonts w:ascii="Simplified Arabic" w:hAnsi="Simplified Arabic" w:cs="Simplified Arabic" w:hint="cs"/>
          <w:sz w:val="28"/>
          <w:szCs w:val="28"/>
          <w:rtl/>
          <w:lang w:bidi="ar-IQ"/>
        </w:rPr>
        <w:t xml:space="preserve"> </w:t>
      </w:r>
      <w:r w:rsidRPr="008E2001">
        <w:rPr>
          <w:rFonts w:ascii="Simplified Arabic" w:hAnsi="Simplified Arabic" w:cs="Simplified Arabic"/>
          <w:b/>
          <w:bCs/>
          <w:sz w:val="28"/>
          <w:szCs w:val="28"/>
          <w:rtl/>
          <w:lang w:bidi="ar-IQ"/>
        </w:rPr>
        <w:t xml:space="preserve">القياس وما يتصل به من علل ويكتفي بالظاهر من القرآن والحديث. وقد استلهم ابن مضاء هذه الثورة لا في حملة على الفقه والفقهاء، وإنما في حملة على النحو والنحاة من حوله، إذ وجد مادة العربية تتضخم بتقديرات وتأويلات وتعليلات وأقيسة وشعب وفروع وآراء لا حصر لها ولا غناء حقيقيا في تتبعها أو على الأقل في تتبع الكثير منها، فمضى يهاجمها في ثلاثة كتب، هي: "المشرق في النحو" و"تنزيه القرآن عما لا يليق بالبيان" وكتاب "الرد على النحاة" وهو -وحده- الذي بقي من آثاره. وفيه1 يهاجم نظرية العامل التي عقّدت النحو وأكثرت فيه من التقديرات والمباحث التي لا طائل وراءها في رأيه، والمتكلم في الحقيقة كما لاحظ ابن جني2 هو الذي يعمل الرفع والنصب والجر في الكلام. ويفصّل القول فيما أدخلته هذه النظرية على النحو من عقد التقديرات على نحو ما هو معروف في العوامل المحذوفة مما يبعد الصيغ عن وجهها الطبيعي، ويدفع إلى </w:t>
      </w:r>
      <w:proofErr w:type="spellStart"/>
      <w:r w:rsidRPr="008E2001">
        <w:rPr>
          <w:rFonts w:ascii="Simplified Arabic" w:hAnsi="Simplified Arabic" w:cs="Simplified Arabic"/>
          <w:b/>
          <w:bCs/>
          <w:sz w:val="28"/>
          <w:szCs w:val="28"/>
          <w:rtl/>
          <w:lang w:bidi="ar-IQ"/>
        </w:rPr>
        <w:t>تمحلات</w:t>
      </w:r>
      <w:proofErr w:type="spellEnd"/>
      <w:r w:rsidRPr="008E2001">
        <w:rPr>
          <w:rFonts w:ascii="Simplified Arabic" w:hAnsi="Simplified Arabic" w:cs="Simplified Arabic"/>
          <w:b/>
          <w:bCs/>
          <w:sz w:val="28"/>
          <w:szCs w:val="28"/>
          <w:rtl/>
          <w:lang w:bidi="ar-IQ"/>
        </w:rPr>
        <w:t xml:space="preserve"> لا داعي لها كتقدير أن الظرف والجار والمجرور إذا وقعا أخبارا أو صلات أو أحوالا يتعلقان بعامل محذوف ولا حذف هنا ولا عامل -في رأيه- ولا عمل. ولا يلبث أن ينكر أن يكون في قام من قولك: "زيد قام" ضمير مستتر فاعل فهي فعل ولا فاعل له، كما لاحظ ذلك من قبله الكسائي في مثل "كلمني وكلمت محمدا", فقد ذهب كما مر بنا في غير هذا الموضع إلى أن فاعل كلمني محذوف ولا فاعل لها، غير أن ابن مضاء يتسع بذلك كما في المثال السابق. ويذهب إلى أن ضمائر التثنية والجمع في مثل: "قاما وقاموا وقمن ويقومون" ليست ضمائر, بل هي علامات تدل على التثنية والجمع، وهو في ذلك يستضيء برأي الأخفش الذي عرضنا له فيما أسلفنا من الحديث. ولكي يوضح فساد </w:t>
      </w:r>
      <w:r w:rsidRPr="008E2001">
        <w:rPr>
          <w:rFonts w:ascii="Simplified Arabic" w:hAnsi="Simplified Arabic" w:cs="Simplified Arabic"/>
          <w:b/>
          <w:bCs/>
          <w:sz w:val="28"/>
          <w:szCs w:val="28"/>
          <w:rtl/>
          <w:lang w:bidi="ar-IQ"/>
        </w:rPr>
        <w:lastRenderedPageBreak/>
        <w:t>نظرية العامل وأنها دفعت النحاة أحيانا إلى رفض بعض أساليب العرب ووضع أساليب مكانها لا يعرفها العرب الجاهليون والإسلاميون, دَرَسَ باب التنازع دراسة مفصلة موضحا ما جلبه فيه النحاة من صيغ معقدة عسرة لم ينطق بها العرب ولا وقعت في أوهامهم، واستضاء في ذلك بما مر بنا عند الجرمي من منعه التنازع في الأفعال التي تتعدى</w:t>
      </w:r>
      <w:r>
        <w:rPr>
          <w:rFonts w:ascii="Simplified Arabic" w:hAnsi="Simplified Arabic" w:cs="Simplified Arabic" w:hint="cs"/>
          <w:sz w:val="28"/>
          <w:szCs w:val="28"/>
          <w:rtl/>
          <w:lang w:bidi="ar-IQ"/>
        </w:rPr>
        <w:t xml:space="preserve"> </w:t>
      </w:r>
      <w:r w:rsidRPr="008E2001">
        <w:rPr>
          <w:rFonts w:ascii="Simplified Arabic" w:hAnsi="Simplified Arabic" w:cs="Simplified Arabic"/>
          <w:b/>
          <w:bCs/>
          <w:sz w:val="28"/>
          <w:szCs w:val="28"/>
          <w:rtl/>
          <w:lang w:bidi="ar-IQ"/>
        </w:rPr>
        <w:t>إلى مفعولين أو ثلاثة، لما في ذلك من تكلف لصيغ لم تأت عن العرب. وبنفس الصورة درس باب الاشتغال مستلهما في بيان أحكام النصب والرفع فيه تحليل الأخفش لبعض صيغه على نحو ما مر بنا في حديثنا عنه. وكذلك درس باب فاء السببية وواو المعية اللتين ينصب بعدهما المضارع مصورا تعسف النحاة في التأويل والتقدير، ومستلهما رأي الجرمي الذي أنكر إضمار أن معهما كما استلهم مذهبه الظاهري الذي يرفض ما وراء ظاهر النصوص من تقديرات وتأويلات. ويتسع في استلهام هذا المذهب، فإذا هو يهاجم -</w:t>
      </w:r>
      <w:proofErr w:type="spellStart"/>
      <w:r w:rsidRPr="008E2001">
        <w:rPr>
          <w:rFonts w:ascii="Simplified Arabic" w:hAnsi="Simplified Arabic" w:cs="Simplified Arabic"/>
          <w:b/>
          <w:bCs/>
          <w:sz w:val="28"/>
          <w:szCs w:val="28"/>
          <w:rtl/>
          <w:lang w:bidi="ar-IQ"/>
        </w:rPr>
        <w:t>مستضيئا</w:t>
      </w:r>
      <w:proofErr w:type="spellEnd"/>
      <w:r w:rsidRPr="008E2001">
        <w:rPr>
          <w:rFonts w:ascii="Simplified Arabic" w:hAnsi="Simplified Arabic" w:cs="Simplified Arabic"/>
          <w:b/>
          <w:bCs/>
          <w:sz w:val="28"/>
          <w:szCs w:val="28"/>
          <w:rtl/>
          <w:lang w:bidi="ar-IQ"/>
        </w:rPr>
        <w:t xml:space="preserve"> بابن جني في إنكاره علة العلة1- العلل الثواني والثوالث، كالتعليل لعمل إن النصب والرفع، ولماذا لم تنصب الثاني وترفع الأول كالفعل، مما ليس فيه نفع ولا فائدة في ضبط الألسنة، كما يهاجم الأقيسة النحوية وما حُشد منها في جميع أبواب النحو، مما يبعد تصوره ويصعب فهمه ولا يفيد في النطق السليم بالعربية أي فائدة في رأيه. وبالمثل يهاجم القياس ملاحظا تارة ضعفه وتارة فساده، كما يهاجم التمارين غير العملية مما عرضنا له عند سيبويه والخليل كقول النحاة: "ابْنِ من البيع على مثال فُعْل" ذاهبين إلى أنه يصح أن يقال: بوع أو بيع قياسا على مثل موقن في قلب الياء </w:t>
      </w:r>
      <w:proofErr w:type="spellStart"/>
      <w:r w:rsidRPr="008E2001">
        <w:rPr>
          <w:rFonts w:ascii="Simplified Arabic" w:hAnsi="Simplified Arabic" w:cs="Simplified Arabic"/>
          <w:b/>
          <w:bCs/>
          <w:sz w:val="28"/>
          <w:szCs w:val="28"/>
          <w:rtl/>
          <w:lang w:bidi="ar-IQ"/>
        </w:rPr>
        <w:t>واوا</w:t>
      </w:r>
      <w:proofErr w:type="spellEnd"/>
      <w:r w:rsidRPr="008E2001">
        <w:rPr>
          <w:rFonts w:ascii="Simplified Arabic" w:hAnsi="Simplified Arabic" w:cs="Simplified Arabic"/>
          <w:b/>
          <w:bCs/>
          <w:sz w:val="28"/>
          <w:szCs w:val="28"/>
          <w:rtl/>
          <w:lang w:bidi="ar-IQ"/>
        </w:rPr>
        <w:t xml:space="preserve"> أو على مثل بيض وغيد بقلب الضمة كسرة. وكل ذلك -في رأيه- فضول ينبغي أن يبرَّأ منها النحو ويخلَّص تخليصا، حتى لا يكون فيه عسر ولا صعوبة.</w:t>
      </w:r>
    </w:p>
    <w:p w:rsidR="008E2001" w:rsidRPr="008E2001" w:rsidRDefault="008E2001" w:rsidP="008E2001">
      <w:pPr>
        <w:jc w:val="both"/>
        <w:rPr>
          <w:rFonts w:ascii="Simplified Arabic" w:hAnsi="Simplified Arabic" w:cs="Simplified Arabic"/>
          <w:b/>
          <w:bCs/>
          <w:sz w:val="28"/>
          <w:szCs w:val="28"/>
          <w:rtl/>
          <w:lang w:bidi="ar-IQ"/>
        </w:rPr>
      </w:pPr>
      <w:r w:rsidRPr="008E2001">
        <w:rPr>
          <w:rFonts w:ascii="Simplified Arabic" w:hAnsi="Simplified Arabic" w:cs="Simplified Arabic"/>
          <w:b/>
          <w:bCs/>
          <w:sz w:val="28"/>
          <w:szCs w:val="28"/>
          <w:rtl/>
          <w:lang w:bidi="ar-IQ"/>
        </w:rPr>
        <w:t>ابن  عصفور:</w:t>
      </w:r>
    </w:p>
    <w:p w:rsidR="008E2001" w:rsidRPr="008E2001" w:rsidRDefault="008E2001" w:rsidP="008E2001">
      <w:pPr>
        <w:jc w:val="both"/>
        <w:rPr>
          <w:rFonts w:ascii="Simplified Arabic" w:hAnsi="Simplified Arabic" w:cs="Simplified Arabic"/>
          <w:b/>
          <w:bCs/>
          <w:sz w:val="28"/>
          <w:szCs w:val="28"/>
          <w:rtl/>
          <w:lang w:bidi="ar-IQ"/>
        </w:rPr>
      </w:pPr>
      <w:r w:rsidRPr="008E2001">
        <w:rPr>
          <w:rFonts w:ascii="Simplified Arabic" w:hAnsi="Simplified Arabic" w:cs="Simplified Arabic"/>
          <w:b/>
          <w:bCs/>
          <w:sz w:val="28"/>
          <w:szCs w:val="28"/>
          <w:rtl/>
          <w:lang w:bidi="ar-IQ"/>
        </w:rPr>
        <w:t xml:space="preserve">هو أبو الحسن علي بن مؤمن بن محمد بن علي بن عصفور الحضرمي الإشبيلي المتوفى سنة 663 للهجرة, حامل لواء العربية في زمانه بالأندلس، وهو تلميذ </w:t>
      </w:r>
      <w:proofErr w:type="spellStart"/>
      <w:r w:rsidRPr="008E2001">
        <w:rPr>
          <w:rFonts w:ascii="Simplified Arabic" w:hAnsi="Simplified Arabic" w:cs="Simplified Arabic"/>
          <w:b/>
          <w:bCs/>
          <w:sz w:val="28"/>
          <w:szCs w:val="28"/>
          <w:rtl/>
          <w:lang w:bidi="ar-IQ"/>
        </w:rPr>
        <w:t>الشلوبين</w:t>
      </w:r>
      <w:proofErr w:type="spellEnd"/>
      <w:r w:rsidRPr="008E2001">
        <w:rPr>
          <w:rFonts w:ascii="Simplified Arabic" w:hAnsi="Simplified Arabic" w:cs="Simplified Arabic"/>
          <w:b/>
          <w:bCs/>
          <w:sz w:val="28"/>
          <w:szCs w:val="28"/>
          <w:rtl/>
          <w:lang w:bidi="ar-IQ"/>
        </w:rPr>
        <w:t>، تصدر لإقراء النحو بعدة بلاد في موطنه. وله في النحو والتصريف مصنفات مختلفة، منها المقرَّب والممتع في التصريف ومختصر المحتسب لابن جني، وكان له ثلاثة شروح على الجمل للزجاجي. وله آراء كثيرة تدور في</w:t>
      </w:r>
      <w:r>
        <w:rPr>
          <w:rFonts w:ascii="Simplified Arabic" w:hAnsi="Simplified Arabic" w:cs="Simplified Arabic" w:hint="cs"/>
          <w:sz w:val="28"/>
          <w:szCs w:val="28"/>
          <w:rtl/>
          <w:lang w:bidi="ar-IQ"/>
        </w:rPr>
        <w:t xml:space="preserve"> </w:t>
      </w:r>
      <w:r w:rsidRPr="008E2001">
        <w:rPr>
          <w:rFonts w:ascii="Simplified Arabic" w:hAnsi="Simplified Arabic" w:cs="Simplified Arabic"/>
          <w:b/>
          <w:bCs/>
          <w:sz w:val="28"/>
          <w:szCs w:val="28"/>
          <w:rtl/>
          <w:lang w:bidi="ar-IQ"/>
        </w:rPr>
        <w:t xml:space="preserve">كتب النحاة، منها ما يقف فيه مع سيبويه والبصريين, ومنها ما يقف فيه مع </w:t>
      </w:r>
      <w:r w:rsidRPr="008E2001">
        <w:rPr>
          <w:rFonts w:ascii="Simplified Arabic" w:hAnsi="Simplified Arabic" w:cs="Simplified Arabic"/>
          <w:b/>
          <w:bCs/>
          <w:sz w:val="28"/>
          <w:szCs w:val="28"/>
          <w:rtl/>
          <w:lang w:bidi="ar-IQ"/>
        </w:rPr>
        <w:lastRenderedPageBreak/>
        <w:t xml:space="preserve">الكوفيين أو البغداديين، ومنها ما يستقل به. فمما يقف فيه مع الأولين أنه كان يرى رأي سيبويه في أن لام المستغاث في مثل: "يا لزيد" متعلقة بفعل النداء المحذوف لا </w:t>
      </w:r>
      <w:proofErr w:type="spellStart"/>
      <w:r w:rsidRPr="008E2001">
        <w:rPr>
          <w:rFonts w:ascii="Simplified Arabic" w:hAnsi="Simplified Arabic" w:cs="Simplified Arabic"/>
          <w:b/>
          <w:bCs/>
          <w:sz w:val="28"/>
          <w:szCs w:val="28"/>
          <w:rtl/>
          <w:lang w:bidi="ar-IQ"/>
        </w:rPr>
        <w:t>بيا</w:t>
      </w:r>
      <w:proofErr w:type="spellEnd"/>
      <w:r w:rsidRPr="008E2001">
        <w:rPr>
          <w:rFonts w:ascii="Simplified Arabic" w:hAnsi="Simplified Arabic" w:cs="Simplified Arabic"/>
          <w:b/>
          <w:bCs/>
          <w:sz w:val="28"/>
          <w:szCs w:val="28"/>
          <w:rtl/>
          <w:lang w:bidi="ar-IQ"/>
        </w:rPr>
        <w:t xml:space="preserve"> كما ذهب إلى ذلك ابن جني ولا زائدة كما ذهب إلى ذلك المبرد1. وكذلك كان يختار رأيه في أن ما بعد لولا مبتدأ لا فاعل بإضمار فعل كما ذهب الكسائي2. وكان يذهب مذهب الأخفش في أن "إن" يجوز فيها الكسر والفتح إذا تلت مذ ومنذ مثل: "ما رحلت إلى هذا البلد مذ أو منذ أن الله خلقني"3, وكذلك في أنه يجوز نصب زيد على الاشتغال بعد إذا الفجائية في مثل: "خرجت فإذا زيد قد كلمه عمرو"4. وكان يرى رأي الزجاج في أن إذا الفجائية ظرف زمان5. واختار رأي الجرمي والمازني في أن إعراب المثنى والجمع المذكر السالم ببقاء الألف والواو رفعا وانقلابهما ياء نصبا وجرا6. واختار رأي ابن السراج في أنه يجوز حذف مفعولي ظن دون قرينة وكذلك أخواتها, مستدلا بمثل قوله عز شأنه: {أَعِنْدَهُ عِلْمُ الْغَيْبِ فَهُوَ يَرَى} أي: يعلم، وقوله: {وَظَنَنْتُمْ ظَنَّ السَّوْءِ} 7. واختار رأي السيرافي أن الحائط في مثل: "رأسَك والحائط" معطوفة على رأسك لا منصوبة بفعل آخر مضمر كما ذهب ابن طاهر وابن خروف8. وكان يرى رأي أبي علي الفارسي في أن الفعل لا ينصب أكثر من حال واحدة لصاحب واحد, فلا يصح عندهما: "نظرت إلى محمد جالسا قارئا"9. واختار رأي الكوفيين في عد "هَبْ" من أخوات ظن10, وفي أنه تجوز الحكاية لكلام المتكلم لا بعد قال فقط, بل أيضا بعد كل فعل يلتقي بها في معناها </w:t>
      </w:r>
      <w:proofErr w:type="spellStart"/>
      <w:r w:rsidRPr="008E2001">
        <w:rPr>
          <w:rFonts w:ascii="Simplified Arabic" w:hAnsi="Simplified Arabic" w:cs="Simplified Arabic"/>
          <w:b/>
          <w:bCs/>
          <w:sz w:val="28"/>
          <w:szCs w:val="28"/>
          <w:rtl/>
          <w:lang w:bidi="ar-IQ"/>
        </w:rPr>
        <w:t>كناديت</w:t>
      </w:r>
      <w:proofErr w:type="spellEnd"/>
      <w:r w:rsidRPr="008E2001">
        <w:rPr>
          <w:rFonts w:ascii="Simplified Arabic" w:hAnsi="Simplified Arabic" w:cs="Simplified Arabic"/>
          <w:b/>
          <w:bCs/>
          <w:sz w:val="28"/>
          <w:szCs w:val="28"/>
          <w:rtl/>
          <w:lang w:bidi="ar-IQ"/>
        </w:rPr>
        <w:t xml:space="preserve"> ودعوت مثل: {فَدَعَا رَبَّهُ أَنِّي مَغْلُوبٌ فَانْتَصِرْ} 11. واختار رأي ابن السيد السالف في</w:t>
      </w:r>
      <w:r>
        <w:rPr>
          <w:rFonts w:ascii="Simplified Arabic" w:hAnsi="Simplified Arabic" w:cs="Simplified Arabic" w:hint="cs"/>
          <w:sz w:val="28"/>
          <w:szCs w:val="28"/>
          <w:rtl/>
          <w:lang w:bidi="ar-IQ"/>
        </w:rPr>
        <w:t xml:space="preserve"> </w:t>
      </w:r>
      <w:r w:rsidRPr="008E2001">
        <w:rPr>
          <w:rFonts w:ascii="Simplified Arabic" w:hAnsi="Simplified Arabic" w:cs="Simplified Arabic"/>
          <w:b/>
          <w:bCs/>
          <w:sz w:val="28"/>
          <w:szCs w:val="28"/>
          <w:rtl/>
          <w:lang w:bidi="ar-IQ"/>
        </w:rPr>
        <w:t xml:space="preserve">"ما" وأنها تقع صفة للتعظيم مثل: {الْحَاقَّةُ، مَا الْحَاقَّةُ} 1. وله وراء ذلك آراء انفرد بها كثيرة، منها أنَ </w:t>
      </w:r>
      <w:proofErr w:type="spellStart"/>
      <w:r w:rsidRPr="008E2001">
        <w:rPr>
          <w:rFonts w:ascii="Simplified Arabic" w:hAnsi="Simplified Arabic" w:cs="Simplified Arabic"/>
          <w:b/>
          <w:bCs/>
          <w:sz w:val="28"/>
          <w:szCs w:val="28"/>
          <w:rtl/>
          <w:lang w:bidi="ar-IQ"/>
        </w:rPr>
        <w:t>أَنْ</w:t>
      </w:r>
      <w:proofErr w:type="spellEnd"/>
      <w:r w:rsidRPr="008E2001">
        <w:rPr>
          <w:rFonts w:ascii="Simplified Arabic" w:hAnsi="Simplified Arabic" w:cs="Simplified Arabic"/>
          <w:b/>
          <w:bCs/>
          <w:sz w:val="28"/>
          <w:szCs w:val="28"/>
          <w:rtl/>
          <w:lang w:bidi="ar-IQ"/>
        </w:rPr>
        <w:t xml:space="preserve"> تأتي مفسرة بعد صريح القول مثل: "قلت لهم أَنْ أنصتوا"2 كما تأتي لربط الجواب بالقسم في مثل:</w:t>
      </w:r>
    </w:p>
    <w:p w:rsidR="008E2001" w:rsidRPr="008E2001" w:rsidRDefault="008E2001" w:rsidP="008E2001">
      <w:pPr>
        <w:jc w:val="both"/>
        <w:rPr>
          <w:rFonts w:ascii="Simplified Arabic" w:hAnsi="Simplified Arabic" w:cs="Simplified Arabic"/>
          <w:b/>
          <w:bCs/>
          <w:sz w:val="28"/>
          <w:szCs w:val="28"/>
          <w:rtl/>
          <w:lang w:bidi="ar-IQ"/>
        </w:rPr>
      </w:pPr>
      <w:r w:rsidRPr="008E2001">
        <w:rPr>
          <w:rFonts w:ascii="Simplified Arabic" w:hAnsi="Simplified Arabic" w:cs="Simplified Arabic"/>
          <w:b/>
          <w:bCs/>
          <w:sz w:val="28"/>
          <w:szCs w:val="28"/>
          <w:rtl/>
          <w:lang w:bidi="ar-IQ"/>
        </w:rPr>
        <w:t>أما والله أَنْ لو كنت حرا ... وما بالحر أنت ولا العتيق3</w:t>
      </w:r>
    </w:p>
    <w:p w:rsidR="008E2001" w:rsidRDefault="008E2001" w:rsidP="008E2001">
      <w:pPr>
        <w:jc w:val="both"/>
        <w:rPr>
          <w:rFonts w:ascii="Simplified Arabic" w:hAnsi="Simplified Arabic" w:cs="Simplified Arabic" w:hint="cs"/>
          <w:sz w:val="28"/>
          <w:szCs w:val="28"/>
          <w:rtl/>
          <w:lang w:bidi="ar-IQ"/>
        </w:rPr>
      </w:pPr>
      <w:r w:rsidRPr="008E2001">
        <w:rPr>
          <w:rFonts w:ascii="Simplified Arabic" w:hAnsi="Simplified Arabic" w:cs="Simplified Arabic"/>
          <w:b/>
          <w:bCs/>
          <w:sz w:val="28"/>
          <w:szCs w:val="28"/>
          <w:rtl/>
          <w:lang w:bidi="ar-IQ"/>
        </w:rPr>
        <w:t xml:space="preserve">وكان يرى اختيار المصدر نائبا للفاعل إذا اجتمع مع الظرف أو المجرور, مستدلا بمثل قوله تعالى: {فَإِذَا نُفِخَ فِي الصُّورِ نَفْخَةٌ وَاحِدَةٌ} 4 كما كان يرى لزوم "من" مع كأين مثل {وَكَأَيِّنْ مِنْ نَبِيٍّ قَاتَلَ} فلا يصح مثل: "وكأين رجلا أقدم" كما نص على ذلك سيبويه5. وكان يرى أنه لا يصح الاستثناء في العدد فلا يقال: "له علي ألف إلا خمسين" معتلا بأن أسماء العدد نصوص, فلا يجوز </w:t>
      </w:r>
      <w:r w:rsidRPr="008E2001">
        <w:rPr>
          <w:rFonts w:ascii="Simplified Arabic" w:hAnsi="Simplified Arabic" w:cs="Simplified Arabic"/>
          <w:b/>
          <w:bCs/>
          <w:sz w:val="28"/>
          <w:szCs w:val="28"/>
          <w:rtl/>
          <w:lang w:bidi="ar-IQ"/>
        </w:rPr>
        <w:lastRenderedPageBreak/>
        <w:t xml:space="preserve">أن ترد إلا على ما وُضعت له6. وذهب إلى أن "لكن" في مثل: "ما قام زيد ولكن عمرو" هي العاطفة والواو زائدة لازمة7 كما ذهب إلى أن جملة "ما خلا" ونظائرها في الاستثناء مستأنفة، وليست حالا كما ذهب السيرافي، ولا منصوبة على الاستثناء كما ذهب ابن خروف8. وجوز أن يكون المحذوف في مثل "عمرك" و"أيمن الله" المبتدأ لا الخبر9 كما جوز الفصل بالظرف بين "إذن" ومنصوبها مثل "إذن غدا أكرمَك"10. وكان يرى أن "ماذا" في مثل: "انظر ماذا صنعت" لا يصح أن تكون مفعولا </w:t>
      </w:r>
      <w:proofErr w:type="spellStart"/>
      <w:r w:rsidRPr="008E2001">
        <w:rPr>
          <w:rFonts w:ascii="Simplified Arabic" w:hAnsi="Simplified Arabic" w:cs="Simplified Arabic"/>
          <w:b/>
          <w:bCs/>
          <w:sz w:val="28"/>
          <w:szCs w:val="28"/>
          <w:rtl/>
          <w:lang w:bidi="ar-IQ"/>
        </w:rPr>
        <w:t>لانظر</w:t>
      </w:r>
      <w:proofErr w:type="spellEnd"/>
      <w:r w:rsidRPr="008E2001">
        <w:rPr>
          <w:rFonts w:ascii="Simplified Arabic" w:hAnsi="Simplified Arabic" w:cs="Simplified Arabic"/>
          <w:b/>
          <w:bCs/>
          <w:sz w:val="28"/>
          <w:szCs w:val="28"/>
          <w:rtl/>
          <w:lang w:bidi="ar-IQ"/>
        </w:rPr>
        <w:t xml:space="preserve"> كما ذهب السيرافي وابن خروف والفارسي لأن الاستفهام له الصدر، إنما "ما" اسم استفهام مبتدأ </w:t>
      </w:r>
      <w:proofErr w:type="spellStart"/>
      <w:r w:rsidRPr="008E2001">
        <w:rPr>
          <w:rFonts w:ascii="Simplified Arabic" w:hAnsi="Simplified Arabic" w:cs="Simplified Arabic"/>
          <w:b/>
          <w:bCs/>
          <w:sz w:val="28"/>
          <w:szCs w:val="28"/>
          <w:rtl/>
          <w:lang w:bidi="ar-IQ"/>
        </w:rPr>
        <w:t>و"ذا</w:t>
      </w:r>
      <w:proofErr w:type="spellEnd"/>
      <w:r w:rsidRPr="008E2001">
        <w:rPr>
          <w:rFonts w:ascii="Simplified Arabic" w:hAnsi="Simplified Arabic" w:cs="Simplified Arabic"/>
          <w:b/>
          <w:bCs/>
          <w:sz w:val="28"/>
          <w:szCs w:val="28"/>
          <w:rtl/>
          <w:lang w:bidi="ar-IQ"/>
        </w:rPr>
        <w:t>" اسم موصول خبر وجملة صنعت صلة11. ورأى أن {عُيُونًا} في مثل: {وَفَجَّرْنَا الْأَرْضَ عُيُونًا} تمييز لا حال12. وكان يذهب إلى أن القسم إذا أجيب بماض متصرف مثبت فإن كان قريبا من الحال جيء باللام وقد معا مثل: {تَاللَّهِ لَقَدْ آثَرَكَ اللَّهُ عَلَيْنَا} وإن كان بعيدا جيء باللام</w:t>
      </w:r>
      <w:r>
        <w:rPr>
          <w:rFonts w:ascii="Simplified Arabic" w:hAnsi="Simplified Arabic" w:cs="Simplified Arabic" w:hint="cs"/>
          <w:sz w:val="28"/>
          <w:szCs w:val="28"/>
          <w:rtl/>
          <w:lang w:bidi="ar-IQ"/>
        </w:rPr>
        <w:t xml:space="preserve"> </w:t>
      </w:r>
      <w:r w:rsidRPr="008E2001">
        <w:rPr>
          <w:rFonts w:ascii="Simplified Arabic" w:hAnsi="Simplified Arabic" w:cs="Simplified Arabic"/>
          <w:b/>
          <w:bCs/>
          <w:sz w:val="28"/>
          <w:szCs w:val="28"/>
          <w:rtl/>
          <w:lang w:bidi="ar-IQ"/>
        </w:rPr>
        <w:t>وحدها1. وكان يذهب إلى أن الكاف والياء المتصلتين بكأن في مثل: "كأني وكأنك بالدنيا لم تكن" زائدتان وكافتان لكأن عن العمل والباء زائدة في المبتدأ2. وقد يبعد في رأيه كقوله بأن الفاء في {فَانْفَجَرَتْ} في قوله جل وعز شأنه: {أَنِ اضْرِبْ بِعَصَاكَ الْحَجَرَ فَانْفَجَرَتْ} هي الفاء الداخلة على ضرب المحذوفة وأن فاء {فَانْفَجَرَتْ} حذفت ليكون على المحذوف دليل ببقاء بعضه. وليس هذا الرأي بشيء كما قال ابن هشام؛ لأن لفظ الفاءين واحد فكيف يحصل الدليل؟ 3. وكان يختار مع كثيرين من موطنه أن "غير" منصوبة في الاستثناء انتصاب التالي لإلا، لا انتصاب الحال كما ذهب إلى ذلك أبو علي الفارسي4.</w:t>
      </w:r>
      <w:bookmarkStart w:id="0" w:name="_GoBack"/>
      <w:bookmarkEnd w:id="0"/>
    </w:p>
    <w:p w:rsidR="008E2001" w:rsidRPr="008E2001" w:rsidRDefault="008E2001" w:rsidP="008E2001">
      <w:pPr>
        <w:jc w:val="both"/>
        <w:rPr>
          <w:rFonts w:ascii="Simplified Arabic" w:hAnsi="Simplified Arabic" w:cs="Simplified Arabic"/>
          <w:sz w:val="28"/>
          <w:szCs w:val="28"/>
          <w:rtl/>
          <w:lang w:bidi="ar-IQ"/>
        </w:rPr>
      </w:pPr>
    </w:p>
    <w:p w:rsidR="008E2001" w:rsidRPr="00D41656" w:rsidRDefault="008E2001" w:rsidP="008E2001">
      <w:pPr>
        <w:jc w:val="both"/>
        <w:rPr>
          <w:rFonts w:ascii="Simplified Arabic" w:hAnsi="Simplified Arabic" w:cs="Simplified Arabic"/>
          <w:sz w:val="28"/>
          <w:szCs w:val="28"/>
          <w:lang w:bidi="ar-IQ"/>
        </w:rPr>
      </w:pPr>
    </w:p>
    <w:sectPr w:rsidR="008E2001" w:rsidRPr="00D41656" w:rsidSect="008912B0">
      <w:footerReference w:type="default" r:id="rId7"/>
      <w:pgSz w:w="12240" w:h="15840"/>
      <w:pgMar w:top="1440" w:right="1800" w:bottom="1440" w:left="1800" w:header="720" w:footer="720" w:gutter="0"/>
      <w:pgBorders w:offsetFrom="page">
        <w:top w:val="twistedLines1" w:sz="18" w:space="24" w:color="auto"/>
        <w:left w:val="twistedLines1" w:sz="18" w:space="24" w:color="auto"/>
        <w:bottom w:val="twistedLines1" w:sz="18" w:space="24" w:color="auto"/>
        <w:right w:val="twistedLines1" w:sz="18"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2AD0" w:rsidRDefault="00782AD0">
      <w:pPr>
        <w:spacing w:after="0" w:line="240" w:lineRule="auto"/>
      </w:pPr>
      <w:r>
        <w:separator/>
      </w:r>
    </w:p>
  </w:endnote>
  <w:endnote w:type="continuationSeparator" w:id="0">
    <w:p w:rsidR="00782AD0" w:rsidRDefault="00782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8784171"/>
      <w:docPartObj>
        <w:docPartGallery w:val="Page Numbers (Bottom of Page)"/>
        <w:docPartUnique/>
      </w:docPartObj>
    </w:sdtPr>
    <w:sdtEndPr/>
    <w:sdtContent>
      <w:p w:rsidR="0029483E" w:rsidRDefault="00096E70">
        <w:pPr>
          <w:pStyle w:val="a3"/>
          <w:jc w:val="center"/>
        </w:pPr>
        <w:r>
          <w:fldChar w:fldCharType="begin"/>
        </w:r>
        <w:r>
          <w:instrText>PAGE   \* MERGEFORMAT</w:instrText>
        </w:r>
        <w:r>
          <w:fldChar w:fldCharType="separate"/>
        </w:r>
        <w:r w:rsidR="008E2001" w:rsidRPr="008E2001">
          <w:rPr>
            <w:rFonts w:cs="Calibri"/>
            <w:noProof/>
            <w:lang w:val="ar-SA"/>
          </w:rPr>
          <w:t>4</w:t>
        </w:r>
        <w:r>
          <w:fldChar w:fldCharType="end"/>
        </w:r>
      </w:p>
    </w:sdtContent>
  </w:sdt>
  <w:p w:rsidR="0029483E" w:rsidRDefault="00782AD0">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2AD0" w:rsidRDefault="00782AD0">
      <w:pPr>
        <w:spacing w:after="0" w:line="240" w:lineRule="auto"/>
      </w:pPr>
      <w:r>
        <w:separator/>
      </w:r>
    </w:p>
  </w:footnote>
  <w:footnote w:type="continuationSeparator" w:id="0">
    <w:p w:rsidR="00782AD0" w:rsidRDefault="00782A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0A5"/>
    <w:rsid w:val="0009293C"/>
    <w:rsid w:val="00096E70"/>
    <w:rsid w:val="0012635D"/>
    <w:rsid w:val="0016277D"/>
    <w:rsid w:val="003F1467"/>
    <w:rsid w:val="004761D9"/>
    <w:rsid w:val="0067437E"/>
    <w:rsid w:val="006D3B18"/>
    <w:rsid w:val="00762E57"/>
    <w:rsid w:val="00782AD0"/>
    <w:rsid w:val="007C6672"/>
    <w:rsid w:val="007D1295"/>
    <w:rsid w:val="008E2001"/>
    <w:rsid w:val="008F7AE9"/>
    <w:rsid w:val="009661D1"/>
    <w:rsid w:val="00983DBA"/>
    <w:rsid w:val="009D7691"/>
    <w:rsid w:val="00BD365B"/>
    <w:rsid w:val="00C62AFD"/>
    <w:rsid w:val="00D01152"/>
    <w:rsid w:val="00D41656"/>
    <w:rsid w:val="00D460A5"/>
    <w:rsid w:val="00DC4826"/>
    <w:rsid w:val="00E42BE9"/>
    <w:rsid w:val="00E86D59"/>
    <w:rsid w:val="00EA7C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1070</Words>
  <Characters>6103</Characters>
  <Application>Microsoft Office Word</Application>
  <DocSecurity>0</DocSecurity>
  <Lines>50</Lines>
  <Paragraphs>14</Paragraphs>
  <ScaleCrop>false</ScaleCrop>
  <Company>SACC - ANAS</Company>
  <LinksUpToDate>false</LinksUpToDate>
  <CharactersWithSpaces>7159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25</cp:revision>
  <dcterms:created xsi:type="dcterms:W3CDTF">2017-10-13T19:51:00Z</dcterms:created>
  <dcterms:modified xsi:type="dcterms:W3CDTF">2018-01-12T21:07:00Z</dcterms:modified>
</cp:coreProperties>
</file>