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913744" w:rsidRDefault="006B3B1F" w:rsidP="00367B2F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367B2F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العشرون</w:t>
      </w:r>
    </w:p>
    <w:p w:rsidR="00367B2F" w:rsidRPr="00367B2F" w:rsidRDefault="00367B2F" w:rsidP="00367B2F">
      <w:p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67B2F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الخصائص </w:t>
      </w:r>
      <w:r w:rsidRPr="00367B2F">
        <w:rPr>
          <w:rFonts w:asciiTheme="majorBidi" w:hAnsiTheme="majorBidi" w:cs="PT Bold Heading" w:hint="cs"/>
          <w:sz w:val="32"/>
          <w:szCs w:val="32"/>
          <w:rtl/>
          <w:lang w:bidi="ar-IQ"/>
        </w:rPr>
        <w:t>اللغوية:</w:t>
      </w:r>
      <w:r w:rsidRPr="00367B2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367B2F" w:rsidRPr="00367B2F" w:rsidRDefault="00367B2F" w:rsidP="00367B2F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حين ننظر في مجموعة شعر الصعاليك لنتبين خصائصها اللغوية فان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أول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 نلاحظه على لغتهم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أنها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هي اللغة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الأدبية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عرفها العصر الجاهلي بكل 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>ما نعرفه عن هذه اللغة من خصائص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وهذه ظاهرة طبيعية ليس من الصعب تعليلها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فان الشعراء الصعاليك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مهما يبلغ بهم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الأمر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الخروج على تقاليد مجتمعهم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الأدبي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ناحية موضوعات شعرهم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معانيه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خصائصهم الفنية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فما هم بقادرين في الخروج عليه من ناحية لغتهم؛ لان هذا الجانب اللغوي هو العامل المشترك بينهم وبينه , والوسيلة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الأساسية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للتفاهم بينهم وبين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أفراده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بعبارة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أخرى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هو "العملة" التي انفق المجتمع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الأدبي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على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أنها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أساس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التبادل الفكري بين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أفراده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جميعا سواء منهم المتوافقون معه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الخارجون عليه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وبدون هذه "العملة" يصبح عمل الشعراء الصعاليك الفني عملا "مزيفا" لا يصلح للتداول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تلك الجوانب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الأخرى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العمل الفني : الموضوعات والمعاني والخصائص الفنية فأنها الجوانب الشخصية فيه التي يستطيع كل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يتصرف فيها كما يشاء .</w:t>
      </w:r>
    </w:p>
    <w:p w:rsidR="00367B2F" w:rsidRPr="00367B2F" w:rsidRDefault="00367B2F" w:rsidP="00367B2F">
      <w:pPr>
        <w:spacing w:before="120" w:after="0" w:line="20" w:lineRule="atLeast"/>
        <w:jc w:val="lowKashida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367B2F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ظواهر </w:t>
      </w:r>
      <w:r w:rsidRPr="00367B2F">
        <w:rPr>
          <w:rFonts w:asciiTheme="majorBidi" w:hAnsiTheme="majorBidi" w:cs="PT Bold Heading" w:hint="cs"/>
          <w:sz w:val="32"/>
          <w:szCs w:val="32"/>
          <w:rtl/>
          <w:lang w:bidi="ar-IQ"/>
        </w:rPr>
        <w:t>عروضية:</w:t>
      </w:r>
    </w:p>
    <w:p w:rsidR="00367B2F" w:rsidRDefault="00367B2F" w:rsidP="00367B2F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إذا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نظرنا بعد ذلك في مجموعة شعر الصعاليك لنتبين خصائصها العروضية فأننا نلاحظ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الأوزان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صاغ فيها الشعراء الصعاليك شعرهم هي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الأوزان نفسها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عرفها سائر الشعراء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الجاهليين: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الطويل،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والبسيط،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والوافر،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والكامل،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والمتقارب،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وأمثال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هذه البحور ال</w:t>
      </w:r>
      <w:bookmarkStart w:id="0" w:name="_GoBack"/>
      <w:bookmarkEnd w:id="0"/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تي ترددت فيها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أنغام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الشعر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الجاهلي.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367B2F" w:rsidRPr="00367B2F" w:rsidRDefault="00367B2F" w:rsidP="00367B2F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كما نلاحظ في شعرهم الذي جاء من بحر الطويل ذلك الزحاف الشائع في الشعر الجاهلي في هذا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البحر،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وهو حذف ياء "مفاعيلن" ونون "فعولن" وتحول التفعيلة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"مفاعلن" و "فعول" وهو ما يسميه العرضيون "القبض" وذلك قول تأبط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شرا:</w:t>
      </w: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367B2F" w:rsidRPr="00367B2F" w:rsidRDefault="00367B2F" w:rsidP="00367B2F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67B2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تقول تركت صاحبا لك ضائعاً        وجئتَ الينا فارقاً متباطناً</w:t>
      </w:r>
    </w:p>
    <w:p w:rsidR="00367B2F" w:rsidRPr="00367B2F" w:rsidRDefault="00367B2F" w:rsidP="00367B2F">
      <w:pPr>
        <w:spacing w:before="120"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67B2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اِذا ما تركت صاحبي لثلاثة          </w:t>
      </w:r>
      <w:r w:rsidRPr="00367B2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أو</w:t>
      </w:r>
      <w:r w:rsidRPr="00367B2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اثنين مثلينا فلا </w:t>
      </w:r>
      <w:r w:rsidRPr="00367B2F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أبت</w:t>
      </w:r>
      <w:r w:rsidRPr="00367B2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آمنا</w:t>
      </w:r>
    </w:p>
    <w:p w:rsidR="00367B2F" w:rsidRPr="00367B2F" w:rsidRDefault="00367B2F" w:rsidP="00367B2F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67B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ومثل قول </w:t>
      </w:r>
      <w:r w:rsidRPr="00367B2F">
        <w:rPr>
          <w:rFonts w:asciiTheme="majorBidi" w:hAnsiTheme="majorBidi" w:cstheme="majorBidi" w:hint="cs"/>
          <w:sz w:val="32"/>
          <w:szCs w:val="32"/>
          <w:rtl/>
          <w:lang w:bidi="ar-IQ"/>
        </w:rPr>
        <w:t>الشنفرى:</w:t>
      </w:r>
    </w:p>
    <w:p w:rsidR="00367B2F" w:rsidRPr="00367B2F" w:rsidRDefault="00367B2F" w:rsidP="00367B2F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67B2F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فوا اكبدا على اُميمة بعدما          طمعت فهِبها نعمةَ العيشِ زلت</w:t>
      </w:r>
    </w:p>
    <w:p w:rsidR="00367B2F" w:rsidRPr="00367B2F" w:rsidRDefault="00367B2F" w:rsidP="00367B2F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AE6EFE" w:rsidRPr="00367B2F" w:rsidRDefault="00AE6EFE" w:rsidP="00367B2F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AE6EFE" w:rsidRPr="00367B2F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5B" w:rsidRDefault="0097705B" w:rsidP="00561D64">
      <w:pPr>
        <w:spacing w:after="0" w:line="240" w:lineRule="auto"/>
      </w:pPr>
      <w:r>
        <w:separator/>
      </w:r>
    </w:p>
  </w:endnote>
  <w:endnote w:type="continuationSeparator" w:id="0">
    <w:p w:rsidR="0097705B" w:rsidRDefault="0097705B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367B2F" w:rsidRPr="00367B2F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1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5B" w:rsidRDefault="0097705B" w:rsidP="00561D64">
      <w:pPr>
        <w:spacing w:after="0" w:line="240" w:lineRule="auto"/>
      </w:pPr>
      <w:r>
        <w:separator/>
      </w:r>
    </w:p>
  </w:footnote>
  <w:footnote w:type="continuationSeparator" w:id="0">
    <w:p w:rsidR="0097705B" w:rsidRDefault="0097705B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820869A"/>
    <w:lvl w:ilvl="0" w:tplc="244A87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C45D6"/>
    <w:rsid w:val="000E0E3D"/>
    <w:rsid w:val="000E2418"/>
    <w:rsid w:val="000E7013"/>
    <w:rsid w:val="000F4408"/>
    <w:rsid w:val="0010421B"/>
    <w:rsid w:val="00105E40"/>
    <w:rsid w:val="00110A53"/>
    <w:rsid w:val="001118F9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67B2F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203F6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8E59AF"/>
    <w:rsid w:val="00905230"/>
    <w:rsid w:val="00913589"/>
    <w:rsid w:val="00913744"/>
    <w:rsid w:val="0092407C"/>
    <w:rsid w:val="009444C5"/>
    <w:rsid w:val="0094464B"/>
    <w:rsid w:val="00974BF0"/>
    <w:rsid w:val="0097705B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E6EFE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058B1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47AE5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2634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A68B1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7FEAC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F60F-BAA7-42B7-8823-A8F19681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19</cp:revision>
  <cp:lastPrinted>2018-02-15T10:20:00Z</cp:lastPrinted>
  <dcterms:created xsi:type="dcterms:W3CDTF">2018-01-19T21:48:00Z</dcterms:created>
  <dcterms:modified xsi:type="dcterms:W3CDTF">2018-02-27T14:55:00Z</dcterms:modified>
</cp:coreProperties>
</file>