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070911" w:rsidRPr="00070911" w:rsidRDefault="006B3B1F" w:rsidP="00070911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070911" w:rsidRPr="00070911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>السابعة والعشرون</w:t>
      </w:r>
    </w:p>
    <w:p w:rsidR="00070911" w:rsidRPr="00070911" w:rsidRDefault="00070911" w:rsidP="00070911">
      <w:pPr>
        <w:spacing w:after="0" w:line="20" w:lineRule="atLeast"/>
        <w:jc w:val="lowKashida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070911">
        <w:rPr>
          <w:rFonts w:asciiTheme="majorBidi" w:hAnsiTheme="majorBidi" w:cs="PT Bold Heading" w:hint="cs"/>
          <w:sz w:val="32"/>
          <w:szCs w:val="32"/>
          <w:rtl/>
          <w:lang w:bidi="ar-IQ"/>
        </w:rPr>
        <w:t>الحِكم:</w:t>
      </w:r>
    </w:p>
    <w:p w:rsidR="00070911" w:rsidRPr="00070911" w:rsidRDefault="00070911" w:rsidP="00070911">
      <w:pPr>
        <w:spacing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70911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حكم العرب في </w:t>
      </w:r>
      <w:r w:rsidRPr="00070911">
        <w:rPr>
          <w:rFonts w:asciiTheme="majorBidi" w:hAnsiTheme="majorBidi" w:cs="PT Bold Heading" w:hint="cs"/>
          <w:sz w:val="32"/>
          <w:szCs w:val="32"/>
          <w:rtl/>
          <w:lang w:bidi="ar-IQ"/>
        </w:rPr>
        <w:t>الجاهلية:</w:t>
      </w:r>
      <w:r w:rsidRPr="0007091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070911" w:rsidRPr="00070911" w:rsidRDefault="00070911" w:rsidP="00070911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7091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الحكمة: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قول موجز مشهور صائب الفكرة رائع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التعبير،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يتضمن معنى مسلما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به،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يهدف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الخير والصواب وتعبر عن خلاصة خبرات وتجارب صاحبها في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الحياة.</w:t>
      </w:r>
    </w:p>
    <w:p w:rsidR="00070911" w:rsidRPr="00070911" w:rsidRDefault="00070911" w:rsidP="00070911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فيم تلتقي الحكمة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والمثل؟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وفيم يختلفان؟</w:t>
      </w:r>
    </w:p>
    <w:p w:rsidR="00070911" w:rsidRPr="00070911" w:rsidRDefault="00070911" w:rsidP="00070911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70911">
        <w:rPr>
          <w:rFonts w:asciiTheme="majorBidi" w:hAnsiTheme="majorBidi" w:cs="PT Bold Heading"/>
          <w:sz w:val="32"/>
          <w:szCs w:val="32"/>
          <w:rtl/>
          <w:lang w:bidi="ar-IQ"/>
        </w:rPr>
        <w:t>تتفق الحك</w:t>
      </w:r>
      <w:bookmarkStart w:id="0" w:name="_GoBack"/>
      <w:bookmarkEnd w:id="0"/>
      <w:r w:rsidRPr="00070911">
        <w:rPr>
          <w:rFonts w:asciiTheme="majorBidi" w:hAnsiTheme="majorBidi" w:cs="PT Bold Heading"/>
          <w:sz w:val="32"/>
          <w:szCs w:val="32"/>
          <w:rtl/>
          <w:lang w:bidi="ar-IQ"/>
        </w:rPr>
        <w:t xml:space="preserve">مة مع المثل </w:t>
      </w:r>
      <w:r w:rsidRPr="00070911">
        <w:rPr>
          <w:rFonts w:asciiTheme="majorBidi" w:hAnsiTheme="majorBidi" w:cs="PT Bold Heading" w:hint="cs"/>
          <w:sz w:val="32"/>
          <w:szCs w:val="32"/>
          <w:rtl/>
          <w:lang w:bidi="ar-IQ"/>
        </w:rPr>
        <w:t>في</w:t>
      </w:r>
      <w:r w:rsidRPr="0007091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الإيجاز،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والصدق،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وقوة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التعبير،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وسلامة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الفكرة.</w:t>
      </w:r>
    </w:p>
    <w:p w:rsidR="00070911" w:rsidRPr="00070911" w:rsidRDefault="00070911" w:rsidP="00070911">
      <w:p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70911">
        <w:rPr>
          <w:rFonts w:asciiTheme="majorBidi" w:hAnsiTheme="majorBidi" w:cs="PT Bold Heading"/>
          <w:sz w:val="32"/>
          <w:szCs w:val="32"/>
          <w:rtl/>
          <w:lang w:bidi="ar-IQ"/>
        </w:rPr>
        <w:t xml:space="preserve">وتختلف الحكمة عن المثل في </w:t>
      </w:r>
      <w:r w:rsidRPr="00070911">
        <w:rPr>
          <w:rFonts w:asciiTheme="majorBidi" w:hAnsiTheme="majorBidi" w:cs="PT Bold Heading" w:hint="cs"/>
          <w:sz w:val="32"/>
          <w:szCs w:val="32"/>
          <w:rtl/>
          <w:lang w:bidi="ar-IQ"/>
        </w:rPr>
        <w:t xml:space="preserve">امرين: </w:t>
      </w:r>
      <w:r w:rsidRPr="00070911">
        <w:rPr>
          <w:rFonts w:asciiTheme="majorBidi" w:hAnsiTheme="majorBidi" w:cs="PT Bold Heading"/>
          <w:sz w:val="32"/>
          <w:szCs w:val="32"/>
          <w:rtl/>
          <w:lang w:bidi="ar-IQ"/>
        </w:rPr>
        <w:t>-</w:t>
      </w:r>
    </w:p>
    <w:p w:rsidR="00070911" w:rsidRPr="00070911" w:rsidRDefault="00070911" w:rsidP="00070911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1- 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لا ترتبط في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أساسها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بحادثة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قصة.</w:t>
      </w:r>
    </w:p>
    <w:p w:rsidR="00070911" w:rsidRPr="00070911" w:rsidRDefault="00070911" w:rsidP="00070911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2-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إنها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تصدر غالبا عن طائفة خاصة من الناس لها خبرتها وتجاربها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وثقافتها.</w:t>
      </w:r>
    </w:p>
    <w:p w:rsidR="00070911" w:rsidRPr="00070911" w:rsidRDefault="00070911" w:rsidP="00070911">
      <w:p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70911">
        <w:rPr>
          <w:rFonts w:asciiTheme="majorBidi" w:hAnsiTheme="majorBidi" w:cs="PT Bold Heading" w:hint="cs"/>
          <w:sz w:val="32"/>
          <w:szCs w:val="32"/>
          <w:rtl/>
          <w:lang w:bidi="ar-IQ"/>
        </w:rPr>
        <w:t>أسباب</w:t>
      </w:r>
      <w:r w:rsidRPr="00070911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070911">
        <w:rPr>
          <w:rFonts w:asciiTheme="majorBidi" w:hAnsiTheme="majorBidi" w:cs="PT Bold Heading" w:hint="cs"/>
          <w:sz w:val="32"/>
          <w:szCs w:val="32"/>
          <w:rtl/>
          <w:lang w:bidi="ar-IQ"/>
        </w:rPr>
        <w:t xml:space="preserve">انتشارها: </w:t>
      </w:r>
      <w:r w:rsidRPr="00070911">
        <w:rPr>
          <w:rFonts w:asciiTheme="majorBidi" w:hAnsiTheme="majorBidi" w:cs="PT Bold Heading"/>
          <w:sz w:val="32"/>
          <w:szCs w:val="32"/>
          <w:rtl/>
          <w:lang w:bidi="ar-IQ"/>
        </w:rPr>
        <w:t>-</w:t>
      </w:r>
    </w:p>
    <w:p w:rsidR="00070911" w:rsidRPr="00070911" w:rsidRDefault="00070911" w:rsidP="00070911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قد شاعت الحكمة على السنة العرب لاعتمادها على التجارب واستخلاص العظة من الحوادث ونفاذ البصيرة والتمكن من ناحية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البلاغة.</w:t>
      </w:r>
    </w:p>
    <w:p w:rsidR="00070911" w:rsidRPr="00070911" w:rsidRDefault="00070911" w:rsidP="00070911">
      <w:p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70911">
        <w:rPr>
          <w:rFonts w:asciiTheme="majorBidi" w:hAnsiTheme="majorBidi" w:cs="PT Bold Heading"/>
          <w:sz w:val="32"/>
          <w:szCs w:val="32"/>
          <w:rtl/>
          <w:lang w:bidi="ar-IQ"/>
        </w:rPr>
        <w:t>الخصائص الفنية لأسلوب الحكمة</w:t>
      </w:r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>:</w:t>
      </w:r>
      <w:r w:rsidRPr="0007091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070911" w:rsidRPr="00070911" w:rsidRDefault="00070911" w:rsidP="00070911">
      <w:pPr>
        <w:numPr>
          <w:ilvl w:val="0"/>
          <w:numId w:val="26"/>
        </w:num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روعة التعبير </w:t>
      </w:r>
    </w:p>
    <w:p w:rsidR="00070911" w:rsidRPr="00070911" w:rsidRDefault="00070911" w:rsidP="00070911">
      <w:pPr>
        <w:numPr>
          <w:ilvl w:val="0"/>
          <w:numId w:val="26"/>
        </w:num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قوة اللفظ </w:t>
      </w:r>
    </w:p>
    <w:p w:rsidR="00070911" w:rsidRPr="00070911" w:rsidRDefault="00070911" w:rsidP="00070911">
      <w:pPr>
        <w:numPr>
          <w:ilvl w:val="0"/>
          <w:numId w:val="26"/>
        </w:num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دقة التشبيه </w:t>
      </w:r>
    </w:p>
    <w:p w:rsidR="00070911" w:rsidRPr="00070911" w:rsidRDefault="00070911" w:rsidP="00070911">
      <w:pPr>
        <w:numPr>
          <w:ilvl w:val="0"/>
          <w:numId w:val="26"/>
        </w:num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سلامة الفكرة مع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الإيجاز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070911" w:rsidRPr="00070911" w:rsidRDefault="00070911" w:rsidP="00070911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ن الحكمة قول موجز يقوم على فكرة سديدة وتكون بعد تأمل وموازنة بين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الأمور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واستخلاص العبرة منها ولذلك فهي تعبر عن الرأي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والعقل.</w:t>
      </w:r>
    </w:p>
    <w:p w:rsidR="00070911" w:rsidRPr="00070911" w:rsidRDefault="00070911" w:rsidP="00070911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70911">
        <w:rPr>
          <w:rFonts w:asciiTheme="majorBidi" w:hAnsiTheme="majorBidi" w:cs="PT Bold Heading"/>
          <w:sz w:val="32"/>
          <w:szCs w:val="32"/>
          <w:rtl/>
          <w:lang w:bidi="ar-IQ"/>
        </w:rPr>
        <w:t xml:space="preserve">نماذج من حكم العرب في </w:t>
      </w:r>
      <w:r w:rsidRPr="00070911">
        <w:rPr>
          <w:rFonts w:asciiTheme="majorBidi" w:hAnsiTheme="majorBidi" w:cs="PT Bold Heading" w:hint="cs"/>
          <w:sz w:val="32"/>
          <w:szCs w:val="32"/>
          <w:rtl/>
          <w:lang w:bidi="ar-IQ"/>
        </w:rPr>
        <w:t>الجاهلية:</w:t>
      </w:r>
    </w:p>
    <w:p w:rsidR="00070911" w:rsidRPr="00070911" w:rsidRDefault="00070911" w:rsidP="00070911">
      <w:pPr>
        <w:pStyle w:val="a3"/>
        <w:numPr>
          <w:ilvl w:val="0"/>
          <w:numId w:val="29"/>
        </w:num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7091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(مصارع الرجال تحت بروق الطمع)</w:t>
      </w:r>
    </w:p>
    <w:p w:rsidR="00070911" w:rsidRPr="00070911" w:rsidRDefault="00070911" w:rsidP="00070911">
      <w:pPr>
        <w:pStyle w:val="a3"/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فيها دعوة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القناعة فأن الطمع يقتل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صاحبه.</w:t>
      </w:r>
    </w:p>
    <w:p w:rsidR="00070911" w:rsidRPr="00070911" w:rsidRDefault="00070911" w:rsidP="00070911">
      <w:pPr>
        <w:pStyle w:val="a3"/>
        <w:numPr>
          <w:ilvl w:val="0"/>
          <w:numId w:val="29"/>
        </w:num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7091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(رب المرء خير من ذهبه)</w:t>
      </w:r>
    </w:p>
    <w:p w:rsidR="00070911" w:rsidRPr="00070911" w:rsidRDefault="00070911" w:rsidP="00070911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>معناها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قيمة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الإنسان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بأدبه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لا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بماله.</w:t>
      </w:r>
    </w:p>
    <w:p w:rsidR="00070911" w:rsidRPr="00070911" w:rsidRDefault="00070911" w:rsidP="00070911">
      <w:pPr>
        <w:pStyle w:val="a3"/>
        <w:numPr>
          <w:ilvl w:val="0"/>
          <w:numId w:val="29"/>
        </w:num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7091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(من فسدت بطانته كان كالغاص بالماء)</w:t>
      </w:r>
    </w:p>
    <w:p w:rsidR="00070911" w:rsidRPr="00070911" w:rsidRDefault="00070911" w:rsidP="00070911">
      <w:pPr>
        <w:pStyle w:val="a3"/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7091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معناها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(فمن استعان بقوم غير صالحين لم يفلح في عمله ويكون مثله كمثل من يقف الماء في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حلقه،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فلا يجد سبيلا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إزالة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غصته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)،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فهي تدعو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حسن اختيار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الأعوان.</w:t>
      </w:r>
    </w:p>
    <w:p w:rsidR="00070911" w:rsidRPr="00070911" w:rsidRDefault="00070911" w:rsidP="00070911">
      <w:pPr>
        <w:pStyle w:val="a3"/>
        <w:numPr>
          <w:ilvl w:val="0"/>
          <w:numId w:val="29"/>
        </w:num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7091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(من شدد </w:t>
      </w:r>
      <w:r w:rsidRPr="0007091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نفر،</w:t>
      </w:r>
      <w:r w:rsidRPr="0007091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ومن تراخى تألف) </w:t>
      </w:r>
    </w:p>
    <w:p w:rsidR="00070911" w:rsidRPr="00070911" w:rsidRDefault="00070911" w:rsidP="00070911">
      <w:pPr>
        <w:pStyle w:val="a3"/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70911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معناها</w:t>
      </w:r>
      <w:r w:rsidRPr="0007091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فالناس تنفر من الشديد القاسي وتميل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اللين الرحيم وهي تدعو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اللين في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المعاملة،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وحسن معاملة </w:t>
      </w:r>
      <w:r w:rsidRPr="00070911">
        <w:rPr>
          <w:rFonts w:asciiTheme="majorBidi" w:hAnsiTheme="majorBidi" w:cstheme="majorBidi" w:hint="cs"/>
          <w:sz w:val="32"/>
          <w:szCs w:val="32"/>
          <w:rtl/>
          <w:lang w:bidi="ar-IQ"/>
        </w:rPr>
        <w:t>الناس.</w:t>
      </w:r>
      <w:r w:rsidRPr="00070911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AE6EFE" w:rsidRPr="00070911" w:rsidRDefault="00AE6EFE" w:rsidP="00070911">
      <w:p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AE6EFE" w:rsidRPr="00070911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9A" w:rsidRDefault="0049479A" w:rsidP="00561D64">
      <w:pPr>
        <w:spacing w:after="0" w:line="240" w:lineRule="auto"/>
      </w:pPr>
      <w:r>
        <w:separator/>
      </w:r>
    </w:p>
  </w:endnote>
  <w:endnote w:type="continuationSeparator" w:id="0">
    <w:p w:rsidR="0049479A" w:rsidRDefault="0049479A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070911" w:rsidRPr="00070911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2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9A" w:rsidRDefault="0049479A" w:rsidP="00561D64">
      <w:pPr>
        <w:spacing w:after="0" w:line="240" w:lineRule="auto"/>
      </w:pPr>
      <w:r>
        <w:separator/>
      </w:r>
    </w:p>
  </w:footnote>
  <w:footnote w:type="continuationSeparator" w:id="0">
    <w:p w:rsidR="0049479A" w:rsidRDefault="0049479A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A0CA2"/>
    <w:multiLevelType w:val="hybridMultilevel"/>
    <w:tmpl w:val="FCE6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94357"/>
    <w:multiLevelType w:val="hybridMultilevel"/>
    <w:tmpl w:val="3820869A"/>
    <w:lvl w:ilvl="0" w:tplc="244A87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19"/>
  </w:num>
  <w:num w:numId="5">
    <w:abstractNumId w:val="7"/>
  </w:num>
  <w:num w:numId="6">
    <w:abstractNumId w:val="21"/>
  </w:num>
  <w:num w:numId="7">
    <w:abstractNumId w:val="17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8"/>
  </w:num>
  <w:num w:numId="13">
    <w:abstractNumId w:val="8"/>
  </w:num>
  <w:num w:numId="14">
    <w:abstractNumId w:val="28"/>
  </w:num>
  <w:num w:numId="15">
    <w:abstractNumId w:val="3"/>
  </w:num>
  <w:num w:numId="16">
    <w:abstractNumId w:val="1"/>
  </w:num>
  <w:num w:numId="17">
    <w:abstractNumId w:val="25"/>
  </w:num>
  <w:num w:numId="18">
    <w:abstractNumId w:val="6"/>
  </w:num>
  <w:num w:numId="19">
    <w:abstractNumId w:val="27"/>
  </w:num>
  <w:num w:numId="20">
    <w:abstractNumId w:val="16"/>
  </w:num>
  <w:num w:numId="21">
    <w:abstractNumId w:val="12"/>
  </w:num>
  <w:num w:numId="22">
    <w:abstractNumId w:val="20"/>
  </w:num>
  <w:num w:numId="23">
    <w:abstractNumId w:val="23"/>
  </w:num>
  <w:num w:numId="24">
    <w:abstractNumId w:val="13"/>
  </w:num>
  <w:num w:numId="25">
    <w:abstractNumId w:val="0"/>
  </w:num>
  <w:num w:numId="26">
    <w:abstractNumId w:val="22"/>
  </w:num>
  <w:num w:numId="27">
    <w:abstractNumId w:val="14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0911"/>
    <w:rsid w:val="000737A1"/>
    <w:rsid w:val="000A1F18"/>
    <w:rsid w:val="000A512A"/>
    <w:rsid w:val="000B230D"/>
    <w:rsid w:val="000B27C7"/>
    <w:rsid w:val="000C45D6"/>
    <w:rsid w:val="000E0E3D"/>
    <w:rsid w:val="000E2418"/>
    <w:rsid w:val="000E7013"/>
    <w:rsid w:val="000F4408"/>
    <w:rsid w:val="0010421B"/>
    <w:rsid w:val="00105E40"/>
    <w:rsid w:val="00110A53"/>
    <w:rsid w:val="001118F9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479A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203F6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8E59AF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E6EFE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058B1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47AE5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2634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A68B1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CF961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2346-6598-4352-A1D4-8DB8B5DB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19</cp:revision>
  <cp:lastPrinted>2018-02-15T10:20:00Z</cp:lastPrinted>
  <dcterms:created xsi:type="dcterms:W3CDTF">2018-01-19T21:48:00Z</dcterms:created>
  <dcterms:modified xsi:type="dcterms:W3CDTF">2018-02-27T16:05:00Z</dcterms:modified>
</cp:coreProperties>
</file>