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0ED" w:rsidRDefault="005320ED" w:rsidP="005320ED">
      <w:pPr>
        <w:jc w:val="both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>حديث عيسى بن هشام</w:t>
      </w:r>
    </w:p>
    <w:p w:rsidR="005320ED" w:rsidRDefault="005320ED" w:rsidP="005320ED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تسارعت خطوات النهضة خلال العقود الأخيرة من القرن التاسع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عشر،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فقد أفسحت الحركة الصحفية المتزايدة والممتدة المجال لنقاش مسهب عن المواقف السياسية المختلفة التي ظهرت نتيجة للاحتلال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البريطاني،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فضلا عن النقد الاجتماعي للقضايا التي كانت موضع نقاش مثل العدالة والمساواة والمرأة وغيرها. ويعد كتاب محمد المويلحي (حديث عيسى بن هشام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المنشور سنة 1907 إسهاماً جليلاً في تطوير النثر العربي الحديث. وقد نُشر أولاً في سلسلة من المقالات في جريدة مصباح الشرق تحت عنوان (فترة من الزمان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).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</w:p>
    <w:p w:rsidR="005320ED" w:rsidRDefault="005320ED" w:rsidP="005320ED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يشكل (حديث عيسى بن هشام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خطوة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تقدمية،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حيث إن هذا الكتاب خالف ما سبقه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كتب،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بتركيز اهتمامه على المجتمع المصري خلال الفترة التي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عاشها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المؤلف،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وأخضعه للنقد الساخر اللاذع. ويستحضر الكتاب شخصية أحمد باشا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المنيكلي،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وزير الحرب المتوفى في عهد محمد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علي،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ليتقابل مع عيسى بن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هشام،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وهو مصري معاصر يتماثل اسمه مع اسم راوي مقامات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الهمذاني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. ويطوف الرجلان بأرجاء القاهرة وهي في طور التغير السريع الى مدينة عالمية. وبينما يظل مستوى النقد الضمني في معالجة كل مجموعة اجتماعية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ثابتا،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 الفصول تشكل وحدات منفصلة لا يربط بينها سوى أمور عرضية فيما عدا وجود الراوي وصاحبه. والحقيقة أنه من منظور البنية الروائية فالكتاب يفوح بعطر مقامات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الهمذاني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يجعل اسم راويها عنوانا لكتاب المويلحي.</w:t>
      </w:r>
    </w:p>
    <w:p w:rsidR="005320ED" w:rsidRDefault="005320ED" w:rsidP="005320ED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إن كتاب (حديث عيسى بن هشام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يقوم بوظيفة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مزدوجة،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إذ إن اختياره لمصر المعاصرة وأهلها موضوعا لنقده الحاد والمرح في كثير من الأحيان يجعله مختلفا عما سبقه من أعمال انفصلت عن بيئة مؤلفيها إما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زمانيا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أو مكانيا. ومن ناحية أخرى </w:t>
      </w:r>
      <w:r>
        <w:rPr>
          <w:rFonts w:ascii="Simplified Arabic" w:hAnsi="Simplified Arabic" w:cs="Simplified Arabic"/>
          <w:sz w:val="32"/>
          <w:szCs w:val="32"/>
          <w:rtl/>
          <w:lang w:bidi="ar-IQ"/>
        </w:rPr>
        <w:lastRenderedPageBreak/>
        <w:t xml:space="preserve">فإن راوي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الهمذاني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وأسلوب النوع المقامي قد تم إحياؤهما لتقديم مثال رائع وخالد للنثر الكلاسيكي الحديث. فهذا الكتاب إسهام في الكلاسيكية الحديثة كانت له أهميته في فترة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ولكن سرعان ما طغى عليه ظهور الرواية كنوع من الأدب العربي.</w:t>
      </w:r>
    </w:p>
    <w:p w:rsidR="005320ED" w:rsidRDefault="005320ED" w:rsidP="005320ED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  ومن بين الكتّاب الذين حملت أعمالهم أثر المقامة التقليدية أو الكلاسيكية الحديثة في أنحاء العالم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العربي،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نذكر سليمان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فايد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الموصلي (الفيضي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العراق ومؤلفه (الرواية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الإيقاظية)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المنشور سنة 1919 إشارة الى اسم الصحيفة (الإيقاظ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يملكها والده. وعلي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الدوعجي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تونس وكتابه (جولة حول حانات البحر الأبيض المتوسط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سنة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1935،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ومحمد بن عبد الله المؤقت وكتابه (الرحاب المراكشية أو مرآة المسائل الوقتية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سنة 1920. إن كل هذه الأعمال وغيرها يمكن عدها جسورا تصل بين الأنواع الروائية في النثر العربي التقليدي وبين ظهور كيان جديد سيصبح الرواية العربية الحديثة.</w:t>
      </w:r>
    </w:p>
    <w:p w:rsidR="003856D4" w:rsidRDefault="003856D4">
      <w:pPr>
        <w:rPr>
          <w:lang w:bidi="ar-IQ"/>
        </w:rPr>
      </w:pPr>
    </w:p>
    <w:sectPr w:rsidR="003856D4" w:rsidSect="009C57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320ED"/>
    <w:rsid w:val="003856D4"/>
    <w:rsid w:val="005320ED"/>
    <w:rsid w:val="009C5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E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Company>Microsoft (C)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2018-11-24T11:28:00Z</dcterms:created>
  <dcterms:modified xsi:type="dcterms:W3CDTF">2018-11-24T11:29:00Z</dcterms:modified>
</cp:coreProperties>
</file>