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BA" w:rsidRDefault="003102BA" w:rsidP="003102BA">
      <w:pPr>
        <w:pStyle w:val="a5"/>
        <w:numPr>
          <w:ilvl w:val="0"/>
          <w:numId w:val="1"/>
        </w:numPr>
        <w:tabs>
          <w:tab w:val="left" w:pos="303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علم الانسان و علم النفس </w:t>
      </w:r>
    </w:p>
    <w:p w:rsidR="003102BA" w:rsidRDefault="003102BA" w:rsidP="003102BA">
      <w:pPr>
        <w:tabs>
          <w:tab w:val="left" w:pos="303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    </w:t>
      </w:r>
      <w:r w:rsidRPr="00591855">
        <w:rPr>
          <w:rFonts w:asciiTheme="minorBidi" w:hAnsiTheme="minorBidi" w:cs="Arial" w:hint="cs"/>
          <w:sz w:val="32"/>
          <w:szCs w:val="32"/>
          <w:rtl/>
          <w:lang w:bidi="ar-IQ"/>
        </w:rPr>
        <w:t>أن</w:t>
      </w:r>
      <w:r w:rsidRPr="0059185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591855">
        <w:rPr>
          <w:rFonts w:asciiTheme="minorBidi" w:hAnsiTheme="minorBidi" w:cs="Arial" w:hint="cs"/>
          <w:sz w:val="32"/>
          <w:szCs w:val="32"/>
          <w:rtl/>
          <w:lang w:bidi="ar-IQ"/>
        </w:rPr>
        <w:t>علاقة</w:t>
      </w:r>
      <w:r w:rsidRPr="0059185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591855">
        <w:rPr>
          <w:rFonts w:asciiTheme="minorBidi" w:hAnsiTheme="minorBidi" w:cs="Arial" w:hint="cs"/>
          <w:sz w:val="32"/>
          <w:szCs w:val="32"/>
          <w:rtl/>
          <w:lang w:bidi="ar-IQ"/>
        </w:rPr>
        <w:t>الانثروبولوجيا</w:t>
      </w:r>
      <w:r w:rsidRPr="0059185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591855">
        <w:rPr>
          <w:rFonts w:asciiTheme="minorBidi" w:hAnsiTheme="minorBidi" w:cs="Arial" w:hint="cs"/>
          <w:sz w:val="32"/>
          <w:szCs w:val="32"/>
          <w:rtl/>
          <w:lang w:bidi="ar-IQ"/>
        </w:rPr>
        <w:t>بعلم</w:t>
      </w:r>
      <w:r w:rsidRPr="0059185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591855">
        <w:rPr>
          <w:rFonts w:asciiTheme="minorBidi" w:hAnsiTheme="minorBidi" w:cs="Arial" w:hint="cs"/>
          <w:sz w:val="32"/>
          <w:szCs w:val="32"/>
          <w:rtl/>
          <w:lang w:bidi="ar-IQ"/>
        </w:rPr>
        <w:t>النفس</w:t>
      </w:r>
      <w:r w:rsidRPr="0059185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591855">
        <w:rPr>
          <w:rFonts w:asciiTheme="minorBidi" w:hAnsiTheme="minorBidi" w:cs="Arial" w:hint="cs"/>
          <w:sz w:val="32"/>
          <w:szCs w:val="32"/>
          <w:rtl/>
          <w:lang w:bidi="ar-IQ"/>
        </w:rPr>
        <w:t>لم</w:t>
      </w:r>
      <w:r w:rsidRPr="0059185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591855">
        <w:rPr>
          <w:rFonts w:asciiTheme="minorBidi" w:hAnsiTheme="minorBidi" w:cs="Arial" w:hint="cs"/>
          <w:sz w:val="32"/>
          <w:szCs w:val="32"/>
          <w:rtl/>
          <w:lang w:bidi="ar-IQ"/>
        </w:rPr>
        <w:t>تكن</w:t>
      </w:r>
      <w:r w:rsidRPr="0059185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591855">
        <w:rPr>
          <w:rFonts w:asciiTheme="minorBidi" w:hAnsiTheme="minorBidi" w:cs="Arial" w:hint="cs"/>
          <w:sz w:val="32"/>
          <w:szCs w:val="32"/>
          <w:rtl/>
          <w:lang w:bidi="ar-IQ"/>
        </w:rPr>
        <w:t>وثيقة</w:t>
      </w:r>
      <w:r w:rsidRPr="0059185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591855">
        <w:rPr>
          <w:rFonts w:asciiTheme="minorBidi" w:hAnsiTheme="minorBidi" w:cs="Arial" w:hint="cs"/>
          <w:sz w:val="32"/>
          <w:szCs w:val="32"/>
          <w:rtl/>
          <w:lang w:bidi="ar-IQ"/>
        </w:rPr>
        <w:t>في</w:t>
      </w:r>
      <w:r w:rsidRPr="0059185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591855">
        <w:rPr>
          <w:rFonts w:asciiTheme="minorBidi" w:hAnsiTheme="minorBidi" w:cs="Arial" w:hint="cs"/>
          <w:sz w:val="32"/>
          <w:szCs w:val="32"/>
          <w:rtl/>
          <w:lang w:bidi="ar-IQ"/>
        </w:rPr>
        <w:t>الماضي</w:t>
      </w:r>
      <w:r w:rsidRPr="00591855">
        <w:rPr>
          <w:rFonts w:asciiTheme="minorBidi" w:hAnsiTheme="minorBidi" w:cs="Arial"/>
          <w:sz w:val="32"/>
          <w:szCs w:val="32"/>
          <w:rtl/>
          <w:lang w:bidi="ar-IQ"/>
        </w:rPr>
        <w:t xml:space="preserve"> , </w:t>
      </w:r>
      <w:r w:rsidRPr="00591855">
        <w:rPr>
          <w:rFonts w:asciiTheme="minorBidi" w:hAnsiTheme="minorBidi" w:cs="Arial" w:hint="cs"/>
          <w:sz w:val="32"/>
          <w:szCs w:val="32"/>
          <w:rtl/>
          <w:lang w:bidi="ar-IQ"/>
        </w:rPr>
        <w:t>فمع</w:t>
      </w:r>
      <w:r w:rsidRPr="0059185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591855">
        <w:rPr>
          <w:rFonts w:asciiTheme="minorBidi" w:hAnsiTheme="minorBidi" w:cs="Arial" w:hint="cs"/>
          <w:sz w:val="32"/>
          <w:szCs w:val="32"/>
          <w:rtl/>
          <w:lang w:bidi="ar-IQ"/>
        </w:rPr>
        <w:t>أن</w:t>
      </w:r>
      <w:r w:rsidRPr="0059185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591855">
        <w:rPr>
          <w:rFonts w:asciiTheme="minorBidi" w:hAnsiTheme="minorBidi" w:cs="Arial" w:hint="cs"/>
          <w:sz w:val="32"/>
          <w:szCs w:val="32"/>
          <w:rtl/>
          <w:lang w:bidi="ar-IQ"/>
        </w:rPr>
        <w:t>الموضوعين</w:t>
      </w:r>
      <w:r w:rsidRPr="0059185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591855">
        <w:rPr>
          <w:rFonts w:asciiTheme="minorBidi" w:hAnsiTheme="minorBidi" w:cs="Arial" w:hint="cs"/>
          <w:sz w:val="32"/>
          <w:szCs w:val="32"/>
          <w:rtl/>
          <w:lang w:bidi="ar-IQ"/>
        </w:rPr>
        <w:t>يدرسان</w:t>
      </w:r>
      <w:r w:rsidRPr="0059185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591855">
        <w:rPr>
          <w:rFonts w:asciiTheme="minorBidi" w:hAnsiTheme="minorBidi" w:cs="Arial" w:hint="cs"/>
          <w:sz w:val="32"/>
          <w:szCs w:val="32"/>
          <w:rtl/>
          <w:lang w:bidi="ar-IQ"/>
        </w:rPr>
        <w:t>مشكلات</w:t>
      </w:r>
      <w:r w:rsidRPr="0059185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591855">
        <w:rPr>
          <w:rFonts w:asciiTheme="minorBidi" w:hAnsiTheme="minorBidi" w:cs="Arial" w:hint="cs"/>
          <w:sz w:val="32"/>
          <w:szCs w:val="32"/>
          <w:rtl/>
          <w:lang w:bidi="ar-IQ"/>
        </w:rPr>
        <w:t>السلوك</w:t>
      </w:r>
      <w:r w:rsidRPr="00591855">
        <w:rPr>
          <w:rFonts w:asciiTheme="minorBidi" w:hAnsiTheme="minorBidi" w:cs="Arial"/>
          <w:sz w:val="32"/>
          <w:szCs w:val="32"/>
          <w:rtl/>
          <w:lang w:bidi="ar-IQ"/>
        </w:rPr>
        <w:t xml:space="preserve"> , </w:t>
      </w:r>
      <w:r w:rsidRPr="00591855">
        <w:rPr>
          <w:rFonts w:asciiTheme="minorBidi" w:hAnsiTheme="minorBidi" w:cs="Arial" w:hint="cs"/>
          <w:sz w:val="32"/>
          <w:szCs w:val="32"/>
          <w:rtl/>
          <w:lang w:bidi="ar-IQ"/>
        </w:rPr>
        <w:t>إلا</w:t>
      </w:r>
      <w:r w:rsidRPr="0059185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591855">
        <w:rPr>
          <w:rFonts w:asciiTheme="minorBidi" w:hAnsiTheme="minorBidi" w:cs="Arial" w:hint="cs"/>
          <w:sz w:val="32"/>
          <w:szCs w:val="32"/>
          <w:rtl/>
          <w:lang w:bidi="ar-IQ"/>
        </w:rPr>
        <w:t>أن</w:t>
      </w:r>
      <w:r w:rsidRPr="0059185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591855">
        <w:rPr>
          <w:rFonts w:asciiTheme="minorBidi" w:hAnsiTheme="minorBidi" w:cs="Arial" w:hint="cs"/>
          <w:sz w:val="32"/>
          <w:szCs w:val="32"/>
          <w:rtl/>
          <w:lang w:bidi="ar-IQ"/>
        </w:rPr>
        <w:t>معظم</w:t>
      </w:r>
      <w:r w:rsidRPr="0059185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591855">
        <w:rPr>
          <w:rFonts w:asciiTheme="minorBidi" w:hAnsiTheme="minorBidi" w:cs="Arial" w:hint="cs"/>
          <w:sz w:val="32"/>
          <w:szCs w:val="32"/>
          <w:rtl/>
          <w:lang w:bidi="ar-IQ"/>
        </w:rPr>
        <w:t>علماء</w:t>
      </w:r>
      <w:r w:rsidRPr="0059185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591855">
        <w:rPr>
          <w:rFonts w:asciiTheme="minorBidi" w:hAnsiTheme="minorBidi" w:cs="Arial" w:hint="cs"/>
          <w:sz w:val="32"/>
          <w:szCs w:val="32"/>
          <w:rtl/>
          <w:lang w:bidi="ar-IQ"/>
        </w:rPr>
        <w:t>النفس</w:t>
      </w:r>
      <w:r w:rsidRPr="0059185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591855">
        <w:rPr>
          <w:rFonts w:asciiTheme="minorBidi" w:hAnsiTheme="minorBidi" w:cs="Arial" w:hint="cs"/>
          <w:sz w:val="32"/>
          <w:szCs w:val="32"/>
          <w:rtl/>
          <w:lang w:bidi="ar-IQ"/>
        </w:rPr>
        <w:t>ظلوا</w:t>
      </w:r>
      <w:r w:rsidRPr="0059185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591855">
        <w:rPr>
          <w:rFonts w:asciiTheme="minorBidi" w:hAnsiTheme="minorBidi" w:cs="Arial" w:hint="cs"/>
          <w:sz w:val="32"/>
          <w:szCs w:val="32"/>
          <w:rtl/>
          <w:lang w:bidi="ar-IQ"/>
        </w:rPr>
        <w:t>لفترة</w:t>
      </w:r>
      <w:r w:rsidRPr="00591855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591855">
        <w:rPr>
          <w:rFonts w:asciiTheme="minorBidi" w:hAnsiTheme="minorBidi" w:cs="Arial" w:hint="cs"/>
          <w:sz w:val="32"/>
          <w:szCs w:val="32"/>
          <w:rtl/>
          <w:lang w:bidi="ar-IQ"/>
        </w:rPr>
        <w:t>طويلة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يهتمون بمشكلات السلوك الفردي , بينما كان الانثروبولوجيون يميلون الى التوصل الى تعممات تصدق على الجماعات و الثقافات الكلية , بغض النظر عن الحالات الفردية أو الشخصية . وحينما أخذ علماء الانثروبولوجيا يوجهون اهتمامهم نحو فحص العلاقة بين الثقافة و الشخصية , بدأت تظهر الرابطة بين علم النفس و الانثروبولوجيا , واستطاعت البحوث الانثروبولوجية المقارنة أن تقدم شواهد جديدة تدل على عدم صدق نظريات الغرائز القديمة , وضرورة تعديلها . كذلك افاد علماء الانثروبولوجيا في صياغة نظرياتهم من مفاهيم التحليل النفسي و الطب النفسي , ولا تزال التأويلات و التفسيرات السيكولوجية لكثير من الظواهر الاجتماعية سائدة بين علماء الانثروبولوجيا في الوقت الحاضر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. </w:t>
      </w:r>
    </w:p>
    <w:p w:rsidR="003102BA" w:rsidRDefault="003102BA" w:rsidP="003102BA">
      <w:pPr>
        <w:tabs>
          <w:tab w:val="left" w:pos="303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ولعل ثمار التفاهم و التفاعل بين هذين العلمين تتجلى في إثراء معرفتنا بالنظم الاجتماعية و العلاقات الاجتماعية من خلال الدراسات التي قدمتها الانثروبولوجيا عن نظم العائلة و الضبط الاجتماعي و القرابة و الزواج ... الخ , في المجتمعات المختلفة . وانعكس هذا الثراء المعرفيعلى علم النفس , حيث تمكن علماءالنفس من تصحيح بعض المفاهيم النفسية , ومراجعة بعض النظريات التي كانت راسخة في تراث هذا العلم . فنظرية (الغرائز) </w:t>
      </w:r>
      <w:r>
        <w:rPr>
          <w:rFonts w:asciiTheme="minorBidi" w:hAnsi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التي كانت شائعة قديمآ فب علم النفس </w:t>
      </w:r>
      <w:r>
        <w:rPr>
          <w:rFonts w:asciiTheme="minorBidi" w:hAnsi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قوضتها دراسات الانثروبولوجيين و السيكولوجيين الذين تأثروا بهذه الدراسات . ويأتي ستردوبيك </w:t>
      </w:r>
      <w:r>
        <w:rPr>
          <w:rFonts w:asciiTheme="minorBidi" w:hAnsiTheme="minorBidi"/>
          <w:sz w:val="32"/>
          <w:szCs w:val="32"/>
          <w:lang w:bidi="ar-IQ"/>
        </w:rPr>
        <w:t>Strodbic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مقددمة الذين هدموا نظرية الغرائز , و أوضحوا مدى ضحالتها و مبالغتها غي هذه الناحية . كذلك دحضت دورتي ايجان </w:t>
      </w:r>
      <w:r>
        <w:rPr>
          <w:rFonts w:asciiTheme="minorBidi" w:hAnsiTheme="minorBidi"/>
          <w:sz w:val="32"/>
          <w:szCs w:val="32"/>
          <w:lang w:bidi="ar-IQ"/>
        </w:rPr>
        <w:t>D.Dggan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مركب أوديب </w:t>
      </w:r>
      <w:r>
        <w:rPr>
          <w:rFonts w:asciiTheme="minorBidi" w:hAnsiTheme="minorBidi"/>
          <w:sz w:val="32"/>
          <w:szCs w:val="32"/>
          <w:lang w:bidi="ar-IQ"/>
        </w:rPr>
        <w:t>Odiepus Complex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خلال الدراسة الانثروبولوجية الهامة التي أجرتها و قدمتها عن قبائل الهوبى </w:t>
      </w:r>
      <w:r>
        <w:rPr>
          <w:rFonts w:asciiTheme="minorBidi" w:hAnsiTheme="minorBidi"/>
          <w:sz w:val="32"/>
          <w:szCs w:val="32"/>
          <w:lang w:bidi="ar-IQ"/>
        </w:rPr>
        <w:t>Hobbi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شمال أريزونا . وهناك </w:t>
      </w:r>
      <w:r>
        <w:rPr>
          <w:rFonts w:asciiTheme="minorBidi" w:hAnsi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بالاضافة الى ذلك </w:t>
      </w:r>
      <w:r>
        <w:rPr>
          <w:rFonts w:asciiTheme="minorBidi" w:hAnsi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دراسة مرجريت ميد </w:t>
      </w:r>
      <w:r>
        <w:rPr>
          <w:rFonts w:asciiTheme="minorBidi" w:hAnsiTheme="minorBidi"/>
          <w:sz w:val="32"/>
          <w:szCs w:val="32"/>
          <w:lang w:bidi="ar-IQ"/>
        </w:rPr>
        <w:t>Mararet Mead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عن المراهقة </w:t>
      </w:r>
      <w:r>
        <w:rPr>
          <w:rFonts w:asciiTheme="minorBidi" w:hAnsiTheme="minorBidi"/>
          <w:sz w:val="32"/>
          <w:szCs w:val="32"/>
          <w:lang w:bidi="ar-IQ"/>
        </w:rPr>
        <w:t>Adolescence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ساموا </w:t>
      </w:r>
      <w:r>
        <w:rPr>
          <w:rFonts w:asciiTheme="minorBidi" w:hAnsiTheme="minorBidi"/>
          <w:sz w:val="32"/>
          <w:szCs w:val="32"/>
          <w:lang w:bidi="ar-IQ"/>
        </w:rPr>
        <w:t>Sa-moa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حيث أبطلت المزاعم المرتبطة بهذه المرحلة في المجتمعات الحديثة . ثم أكدت على أن مشكلات المراهقة و بخاصة عند الفتيات </w:t>
      </w:r>
      <w:r>
        <w:rPr>
          <w:rFonts w:asciiTheme="minorBidi" w:hAnsi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التي تعتبر ظاهرة عامة و أساسية في الحياة الامريكية , لا توجد في مجتمع ساموا , و أن ظهورها يلازم نوعآ معينآ من البيئة الاجتماعية , أي أنها لا تنشأ عن الطبيعة , وأنما عن القيود التي تفرضها الحضارة الحديثة .  وهنا </w:t>
      </w:r>
    </w:p>
    <w:p w:rsidR="003102BA" w:rsidRDefault="003102BA" w:rsidP="003102BA">
      <w:pPr>
        <w:tabs>
          <w:tab w:val="left" w:pos="303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102BA" w:rsidRDefault="003102BA" w:rsidP="003102BA">
      <w:pPr>
        <w:pStyle w:val="a5"/>
        <w:numPr>
          <w:ilvl w:val="0"/>
          <w:numId w:val="2"/>
        </w:numPr>
        <w:tabs>
          <w:tab w:val="left" w:pos="303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محمد علي محمد : المصدر السابق , ص 43 </w:t>
      </w:r>
      <w:r>
        <w:rPr>
          <w:rFonts w:asciiTheme="minorBidi" w:hAnsiTheme="minorBidi"/>
          <w:sz w:val="28"/>
          <w:szCs w:val="28"/>
          <w:rtl/>
          <w:lang w:bidi="ar-IQ"/>
        </w:rPr>
        <w:t>–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44 . </w:t>
      </w:r>
    </w:p>
    <w:p w:rsidR="003102BA" w:rsidRDefault="003102BA" w:rsidP="003102BA">
      <w:pPr>
        <w:tabs>
          <w:tab w:val="left" w:pos="303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تدرس ميد الاختلافات القائمة بين الظروف التي تصاحب مراهقة الفتاة في ساموا في امريكا , وتتكلم عن الوضع الاجتماعي و طريقة التنشئة , ونوع الطفولة اتي تمر بها و المكانة التي تشغلها في حياة الأسرة و القرية و المجتمع المحلى الكبير و العلاقات الجنسية ... الخ. ونخلص من كل هذه المقارنات إلى أن الفوارق لا تكمن في عملية المراهقة ذاتها , بقدر ما تكمن في كيفية الاستجابة لها . </w:t>
      </w:r>
    </w:p>
    <w:p w:rsidR="003102BA" w:rsidRDefault="003102BA" w:rsidP="003102BA">
      <w:pPr>
        <w:tabs>
          <w:tab w:val="left" w:pos="303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أضف إلى ذلك , أن دراسة روث بندكت </w:t>
      </w:r>
      <w:r>
        <w:rPr>
          <w:rFonts w:asciiTheme="minorBidi" w:hAnsiTheme="minorBidi"/>
          <w:sz w:val="32"/>
          <w:szCs w:val="32"/>
          <w:lang w:bidi="ar-IQ"/>
        </w:rPr>
        <w:t>Ruth Benedict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على ظاهرة الحرب عند قبائل الاسكيمو , أبطلت المزاعم النفسية التي كانت تعتبر أن الحرب من الغرائز الفطرية . وقد تتبعت بندكت ظاهرة الحرب بالفحص و التحليل ووصلت إلى أن الاسكيمو لم يسمعوا من قبل عن الحرب </w:t>
      </w:r>
      <w:r>
        <w:rPr>
          <w:rFonts w:asciiTheme="minorBidi" w:hAnsi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كلفظة لغوية </w:t>
      </w:r>
      <w:r>
        <w:rPr>
          <w:rFonts w:asciiTheme="minorBidi" w:hAnsi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ولم يدركوا معناها أو المقصود منها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</w:t>
      </w:r>
    </w:p>
    <w:p w:rsidR="003102BA" w:rsidRDefault="003102BA" w:rsidP="003102BA">
      <w:pPr>
        <w:tabs>
          <w:tab w:val="left" w:pos="303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ومن اثار علم الانسان الهامة في علم الانسان هو تحديد الانثروبولوجيين لمفهوم الحضارة و ما قدموه عن جوانبها المتعددة من بحوث نظرية و تطبيقية و يقابل مفهوم الشخصية في علم النفس مفهوم الحضارة في علم الانسان . </w:t>
      </w:r>
    </w:p>
    <w:p w:rsidR="003102BA" w:rsidRDefault="003102BA" w:rsidP="003102BA">
      <w:pPr>
        <w:tabs>
          <w:tab w:val="left" w:pos="303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وقد سعى علم الانسان الى تحقيق نظرة كلية للحضارة باعتبارها تنطوي على عناصر مترابطة . غير ان البرهنة على الترابط الحضاري هو اصعب من البرهنة في علم النفس على ترابط السلوك النفسي . </w:t>
      </w:r>
    </w:p>
    <w:p w:rsidR="003102BA" w:rsidRDefault="003102BA" w:rsidP="003102BA">
      <w:pPr>
        <w:tabs>
          <w:tab w:val="left" w:pos="303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ومن الاتجاهات الاخرى التي تكشف عن تلاقي علم الانسان بعلم النفس ما يأتي: </w:t>
      </w:r>
    </w:p>
    <w:p w:rsidR="003102BA" w:rsidRDefault="003102BA" w:rsidP="003102BA">
      <w:pPr>
        <w:pStyle w:val="a5"/>
        <w:numPr>
          <w:ilvl w:val="0"/>
          <w:numId w:val="4"/>
        </w:numPr>
        <w:tabs>
          <w:tab w:val="left" w:pos="303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اتساع ميدان التعاون في دراسات اللغة و علم النفس . يلاحظ ان دراسات الحضارة و الشخصية قد جرت في نطاق محدود . ولهذا كان لابد من ميادين اضافية تخدم اتساع علم الانسان و علم النفس وكان من هذه الميادين حقل اللغة الذي يعتبر مجالآ بكرآ غير مطروق بالنسبة لعلم النفس على الرغم من اعتراف علماء النفس بالاهمية الكبيرة للغة في السلوك الانساني . وقد افاد علماء النفس من بحوث الانثروبولوجيين عن علاقة اللغة و اصناف الادراك و الشعور وفي مقدمتهم (بنجامين ورف) </w:t>
      </w:r>
      <w:r>
        <w:rPr>
          <w:rFonts w:asciiTheme="minorBidi" w:hAnsiTheme="minorBidi"/>
          <w:sz w:val="32"/>
          <w:szCs w:val="32"/>
          <w:lang w:bidi="ar-IQ"/>
        </w:rPr>
        <w:t>Whorf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(دوروثي لي) </w:t>
      </w:r>
      <w:r>
        <w:rPr>
          <w:rFonts w:asciiTheme="minorBidi" w:hAnsiTheme="minorBidi"/>
          <w:sz w:val="32"/>
          <w:szCs w:val="32"/>
          <w:lang w:bidi="ar-IQ"/>
        </w:rPr>
        <w:t>Dorothy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</w:t>
      </w:r>
    </w:p>
    <w:p w:rsidR="003102BA" w:rsidRPr="003A1ED3" w:rsidRDefault="003102BA" w:rsidP="003102BA">
      <w:pPr>
        <w:tabs>
          <w:tab w:val="left" w:pos="303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3102BA" w:rsidRDefault="003102BA" w:rsidP="003102BA">
      <w:pPr>
        <w:tabs>
          <w:tab w:val="left" w:pos="303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102BA" w:rsidRDefault="003102BA" w:rsidP="003102BA">
      <w:pPr>
        <w:pStyle w:val="a5"/>
        <w:numPr>
          <w:ilvl w:val="0"/>
          <w:numId w:val="3"/>
        </w:numPr>
        <w:tabs>
          <w:tab w:val="left" w:pos="303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محمد علي المكاوي : المصدر السابق , ص 34 </w:t>
      </w:r>
      <w:r>
        <w:rPr>
          <w:rFonts w:asciiTheme="minorBidi" w:hAnsiTheme="minorBidi"/>
          <w:sz w:val="28"/>
          <w:szCs w:val="28"/>
          <w:rtl/>
          <w:lang w:bidi="ar-IQ"/>
        </w:rPr>
        <w:t>–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35 . </w:t>
      </w:r>
    </w:p>
    <w:p w:rsidR="003102BA" w:rsidRDefault="003102BA" w:rsidP="003102BA">
      <w:pPr>
        <w:pStyle w:val="a5"/>
        <w:tabs>
          <w:tab w:val="left" w:pos="3032"/>
        </w:tabs>
        <w:jc w:val="both"/>
        <w:rPr>
          <w:rFonts w:asciiTheme="minorBidi" w:hAnsiTheme="minorBidi"/>
          <w:sz w:val="28"/>
          <w:szCs w:val="28"/>
          <w:lang w:bidi="ar-IQ"/>
        </w:rPr>
      </w:pPr>
    </w:p>
    <w:p w:rsidR="003102BA" w:rsidRDefault="003102BA" w:rsidP="003102BA">
      <w:pPr>
        <w:pStyle w:val="a5"/>
        <w:numPr>
          <w:ilvl w:val="0"/>
          <w:numId w:val="4"/>
        </w:numPr>
        <w:tabs>
          <w:tab w:val="left" w:pos="303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 التركيز على تباين الظواهر الفكرية و السلوكية . هذا الجانب قد اصبح ايضآ مجالآ للتعاون بين علماء الانسان و علماء النفس . فعلماء النفس يهتمون بالفجوة الموجودة بين ما يقوله الناس و ما يفعلونه . او بين الشعور و اللاشعور . وقد اشترك علماء الانسان في دراسة هذا الجانب من السلوك و زاد تركيزهم عليه بصورة مطردة و يظهر هذا الاهتمام في تصنيف الانثروبولوجيا للسلوك الى الوجه الظاهر و الوجه المستور و تصنيف الحضارة الى الانماط الظاهرة و الانماط الخفية و قد انتقلت هذه المفاهيم من علم الانسان لعلم النفس . </w:t>
      </w:r>
    </w:p>
    <w:p w:rsidR="003102BA" w:rsidRDefault="003102BA" w:rsidP="003102BA">
      <w:pPr>
        <w:tabs>
          <w:tab w:val="left" w:pos="303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3102BA" w:rsidRDefault="003102BA" w:rsidP="003102BA">
      <w:pPr>
        <w:tabs>
          <w:tab w:val="left" w:pos="303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جـ - ظهور نماذج علمية مناسبة و جديدة للعلمين . </w:t>
      </w:r>
    </w:p>
    <w:p w:rsidR="003102BA" w:rsidRDefault="003102BA" w:rsidP="003102BA">
      <w:pPr>
        <w:tabs>
          <w:tab w:val="left" w:pos="303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وقد كان اكثر الخلاف بين علم الانسان و علم النفس راجعآ الى تركيز علماء النفس على الفرديةة في السلوك و تركيز علم الانسان على الواقعية الحضارية و الاجتماعية و التي عبر عنها علماء الانسان بمصطلحات متعددة منها (العقل الجماعي) </w:t>
      </w:r>
      <w:r>
        <w:rPr>
          <w:rFonts w:asciiTheme="minorBidi" w:hAnsiTheme="minorBidi"/>
          <w:sz w:val="32"/>
          <w:szCs w:val="32"/>
          <w:lang w:bidi="ar-IQ"/>
        </w:rPr>
        <w:t>Group Mind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(الاتجاه فوق العضوي) </w:t>
      </w:r>
      <w:r>
        <w:rPr>
          <w:rFonts w:asciiTheme="minorBidi" w:hAnsiTheme="minorBidi"/>
          <w:sz w:val="32"/>
          <w:szCs w:val="32"/>
          <w:lang w:bidi="ar-IQ"/>
        </w:rPr>
        <w:t>Superorganic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</w:t>
      </w:r>
    </w:p>
    <w:p w:rsidR="003102BA" w:rsidRDefault="003102BA" w:rsidP="003102BA">
      <w:pPr>
        <w:tabs>
          <w:tab w:val="left" w:pos="303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غير ان كلآ من علماء الانسان و علماء النفس شعروا بعقم الاستقطاب بين البحوث المتصلة بالفرد و تلك التي تركز على النظام الحضاري و الاجتماعي و حاولوا التقريب بين الاتجاهين باعتبارهما يتكاملان و لا يجوز الفصل بيتهما . غير ان هذه الصيغة الجديدة التي تصل بين الفرد و الجماعة تتطلب جهدآ كبيرآ لكي تتطور و تأخذ شكلها المتبلور في كل من علم الانسان و علم النفس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. </w:t>
      </w:r>
    </w:p>
    <w:p w:rsidR="003102BA" w:rsidRDefault="003102BA" w:rsidP="003102BA">
      <w:pPr>
        <w:tabs>
          <w:tab w:val="left" w:pos="303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هذا و ان العلاقة بين علم النفس و الانثروبولوجيا الثقافية الامريكية هي وثيقة و قوية في الوقت الحاضر الا انها ما تزال ضعيفة مع الانثروبولوجيا الاجتماعية البريطانية لان علمائها يرون أن تفسير الحقائق الاجتماعية في ضور علم النفس الفردي ليس تفسيرآ مقبولآ و لا منطقيا لان علم النفس والانثروبولوجيا الاجتماعية يدرسات نوعين مختلفين من الظواهر . فالأول يدرس الحياة الفردية أو يمكن تسميته بالأنساق النفسية </w:t>
      </w:r>
      <w:r>
        <w:rPr>
          <w:rFonts w:asciiTheme="minorBidi" w:hAnsiTheme="minorBidi"/>
          <w:sz w:val="32"/>
          <w:szCs w:val="32"/>
          <w:lang w:bidi="ar-IQ"/>
        </w:rPr>
        <w:t>Psychological Systems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الانثروبولوجيا الاجتماعية تدرس الحياة الاجتماعية أو الأنساق</w:t>
      </w:r>
    </w:p>
    <w:p w:rsidR="003102BA" w:rsidRDefault="003102BA" w:rsidP="003102BA">
      <w:pPr>
        <w:tabs>
          <w:tab w:val="left" w:pos="303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102BA" w:rsidRPr="00393510" w:rsidRDefault="003102BA" w:rsidP="003102BA">
      <w:pPr>
        <w:pStyle w:val="a5"/>
        <w:numPr>
          <w:ilvl w:val="0"/>
          <w:numId w:val="5"/>
        </w:numPr>
        <w:tabs>
          <w:tab w:val="left" w:pos="3032"/>
        </w:tabs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قيس النوري : المصدر السابق , ص 86 </w:t>
      </w:r>
      <w:r>
        <w:rPr>
          <w:rFonts w:asciiTheme="minorBidi" w:hAnsiTheme="minorBidi"/>
          <w:sz w:val="28"/>
          <w:szCs w:val="28"/>
          <w:rtl/>
          <w:lang w:bidi="ar-IQ"/>
        </w:rPr>
        <w:t>–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87 . </w:t>
      </w:r>
    </w:p>
    <w:p w:rsidR="003102BA" w:rsidRDefault="003102BA" w:rsidP="003102BA">
      <w:pPr>
        <w:tabs>
          <w:tab w:val="left" w:pos="3032"/>
          <w:tab w:val="left" w:pos="5845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الاجتماعية </w:t>
      </w:r>
      <w:r>
        <w:rPr>
          <w:rFonts w:asciiTheme="minorBidi" w:hAnsiTheme="minorBidi"/>
          <w:sz w:val="32"/>
          <w:szCs w:val="32"/>
          <w:lang w:bidi="ar-IQ"/>
        </w:rPr>
        <w:t>Social System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. </w:t>
      </w:r>
    </w:p>
    <w:p w:rsidR="00BE253F" w:rsidRDefault="00BE253F" w:rsidP="003102BA"/>
    <w:sectPr w:rsidR="00BE253F" w:rsidSect="00BE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E6D" w:rsidRDefault="00050E6D" w:rsidP="003102BA">
      <w:pPr>
        <w:spacing w:after="0" w:line="240" w:lineRule="auto"/>
      </w:pPr>
      <w:r>
        <w:separator/>
      </w:r>
    </w:p>
  </w:endnote>
  <w:endnote w:type="continuationSeparator" w:id="0">
    <w:p w:rsidR="00050E6D" w:rsidRDefault="00050E6D" w:rsidP="0031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E6D" w:rsidRDefault="00050E6D" w:rsidP="003102BA">
      <w:pPr>
        <w:spacing w:after="0" w:line="240" w:lineRule="auto"/>
      </w:pPr>
      <w:r>
        <w:separator/>
      </w:r>
    </w:p>
  </w:footnote>
  <w:footnote w:type="continuationSeparator" w:id="0">
    <w:p w:rsidR="00050E6D" w:rsidRDefault="00050E6D" w:rsidP="0031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BB7"/>
    <w:multiLevelType w:val="hybridMultilevel"/>
    <w:tmpl w:val="516CEE82"/>
    <w:lvl w:ilvl="0" w:tplc="3A4CC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F73FA"/>
    <w:multiLevelType w:val="hybridMultilevel"/>
    <w:tmpl w:val="151644B2"/>
    <w:lvl w:ilvl="0" w:tplc="3C5E4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B7964"/>
    <w:multiLevelType w:val="hybridMultilevel"/>
    <w:tmpl w:val="2C9E19A6"/>
    <w:lvl w:ilvl="0" w:tplc="BA8033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F2BF1"/>
    <w:multiLevelType w:val="hybridMultilevel"/>
    <w:tmpl w:val="9332625E"/>
    <w:lvl w:ilvl="0" w:tplc="24DC5ED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A5A38"/>
    <w:multiLevelType w:val="hybridMultilevel"/>
    <w:tmpl w:val="2CE2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2BA"/>
    <w:rsid w:val="00034949"/>
    <w:rsid w:val="00050E6D"/>
    <w:rsid w:val="003102BA"/>
    <w:rsid w:val="007658EA"/>
    <w:rsid w:val="00923B96"/>
    <w:rsid w:val="00BE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BA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3102BA"/>
  </w:style>
  <w:style w:type="paragraph" w:styleId="a4">
    <w:name w:val="footer"/>
    <w:basedOn w:val="a"/>
    <w:link w:val="Char0"/>
    <w:uiPriority w:val="99"/>
    <w:semiHidden/>
    <w:unhideWhenUsed/>
    <w:rsid w:val="0031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3102BA"/>
  </w:style>
  <w:style w:type="paragraph" w:styleId="a5">
    <w:name w:val="List Paragraph"/>
    <w:basedOn w:val="a"/>
    <w:uiPriority w:val="34"/>
    <w:qFormat/>
    <w:rsid w:val="00310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4980</Characters>
  <Application>Microsoft Office Word</Application>
  <DocSecurity>0</DocSecurity>
  <Lines>41</Lines>
  <Paragraphs>11</Paragraphs>
  <ScaleCrop>false</ScaleCrop>
  <Company>SACC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2020-03-03T23:59:00Z</dcterms:created>
  <dcterms:modified xsi:type="dcterms:W3CDTF">2020-03-04T00:01:00Z</dcterms:modified>
</cp:coreProperties>
</file>