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D09" w:rsidRPr="002F2BA1" w:rsidRDefault="00EB1D09" w:rsidP="00EB1D09">
      <w:pPr>
        <w:jc w:val="center"/>
        <w:rPr>
          <w:rFonts w:ascii="Simplified Arabic" w:hAnsi="Simplified Arabic" w:cs="Simplified Arabic"/>
          <w:sz w:val="36"/>
          <w:szCs w:val="36"/>
          <w:rtl/>
        </w:rPr>
      </w:pPr>
      <w:r>
        <w:rPr>
          <w:rFonts w:ascii="Simplified Arabic" w:hAnsi="Simplified Arabic" w:cs="Simplified Arabic" w:hint="cs"/>
          <w:sz w:val="36"/>
          <w:szCs w:val="36"/>
          <w:rtl/>
        </w:rPr>
        <w:t>المحاضرة الحادية عشرة</w:t>
      </w:r>
    </w:p>
    <w:p w:rsidR="00EB1D09" w:rsidRPr="00B67ABE" w:rsidRDefault="00EB1D09" w:rsidP="00EB1D09">
      <w:pPr>
        <w:jc w:val="right"/>
        <w:rPr>
          <w:rStyle w:val="a3"/>
          <w:rFonts w:ascii="Simplified Arabic" w:hAnsi="Simplified Arabic" w:cs="Simplified Arabic"/>
          <w:sz w:val="32"/>
          <w:szCs w:val="32"/>
          <w:rtl/>
        </w:rPr>
      </w:pPr>
      <w:r w:rsidRPr="002F2BA1">
        <w:rPr>
          <w:rFonts w:ascii="Simplified Arabic" w:hAnsi="Simplified Arabic" w:cs="Simplified Arabic"/>
          <w:sz w:val="32"/>
          <w:szCs w:val="32"/>
          <w:rtl/>
        </w:rPr>
        <w:t> </w:t>
      </w:r>
      <w:r>
        <w:rPr>
          <w:rStyle w:val="a3"/>
          <w:rFonts w:ascii="Simplified Arabic" w:hAnsi="Simplified Arabic" w:cs="Simplified Arabic" w:hint="cs"/>
          <w:sz w:val="32"/>
          <w:szCs w:val="32"/>
          <w:rtl/>
        </w:rPr>
        <w:t>النحو في اقطار الوطن العربي:</w:t>
      </w:r>
    </w:p>
    <w:p w:rsidR="00EB1D09" w:rsidRPr="00EB1D09" w:rsidRDefault="00EB1D09" w:rsidP="00EB1D09">
      <w:pPr>
        <w:jc w:val="right"/>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Pr="00EB1D09">
        <w:rPr>
          <w:rFonts w:ascii="Simplified Arabic" w:hAnsi="Simplified Arabic" w:cs="Simplified Arabic"/>
          <w:sz w:val="32"/>
          <w:szCs w:val="32"/>
          <w:rtl/>
        </w:rPr>
        <w:t>النحو في مصر والشام  </w:t>
      </w:r>
      <w:r w:rsidRPr="002F2BA1">
        <w:rPr>
          <w:rtl/>
        </w:rPr>
        <w:t>:</w:t>
      </w:r>
      <w:r>
        <w:rPr>
          <w:rFonts w:hint="cs"/>
          <w:rtl/>
        </w:rPr>
        <w:t xml:space="preserve">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متى نشأ النحو في مصر والشام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وصل النحو متأخرا إلى بلاد الشام ومصر , وتأخرت مشاركة نحاة القطرين في هذا العلم عن فترة نشؤه ونموه في العراق , وسبب ذلك أنّ العراق كان دائم الاتصال ببلاد الحجاز المقدسة، فسمع أهل العراق من الصحابة التابعين أحكام الدين، ثم امتد نظرهم إلى أمر اللغة والمحافظة على سلامتها، إضافة إلى ما في العراق من حضارة علميه سهلت عليهم تنظيم هذا العلم واستكمال بناءه ؛ أمّا الشام ومصر فكانا في أشد الحاجة إلى تعلم الدين وعلومه ؛ فغلب العرب التابعين فيهما داعي الدين فساهم القطران أولا في العلوم الشرعية والقراءات والحديث والفقه ,  ثم جاء الاهتمام لاحقا بعلوم العربية والنحو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ما الأسباب التي أدت إلي تأسيس علم النحو في مصر و الشام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ورود بعض علماء العراق إلى الشام ومصر ؛ فذهب إلى الشام  منهم : الزجاجي , أبو علي الفارسي , ابن جني , وذهب منهم إلى مصر عدد أيضا مثل : التبريزي.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رحلات عدد من علماء مصر والشام  إلى العراق ؛ لتلقي العلم.</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3- كان للدولة الحمدانية في الشام دورا بارزا في دعم العلماء , والاهتمام بعلوم العربية , كون أصولهم عربية , ثم جاء من بعدهم الفاطميون الذين كانت عنايتهم أوفر مما قبلهم ؛ فاهتموا بالدواوين، ثم جاء بعدهم </w:t>
      </w:r>
      <w:proofErr w:type="spellStart"/>
      <w:r w:rsidRPr="00EB1D09">
        <w:rPr>
          <w:rFonts w:ascii="Simplified Arabic" w:hAnsi="Simplified Arabic" w:cs="Simplified Arabic"/>
          <w:sz w:val="32"/>
          <w:szCs w:val="32"/>
          <w:rtl/>
        </w:rPr>
        <w:t>الأيوبين</w:t>
      </w:r>
      <w:proofErr w:type="spellEnd"/>
      <w:r w:rsidRPr="00EB1D09">
        <w:rPr>
          <w:rFonts w:ascii="Simplified Arabic" w:hAnsi="Simplified Arabic" w:cs="Simplified Arabic"/>
          <w:sz w:val="32"/>
          <w:szCs w:val="32"/>
          <w:rtl/>
        </w:rPr>
        <w:t xml:space="preserve"> واستمرت عنايتهم بالنحو وعلوم اللغة.</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طبيعة النحو في مصر والشام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1- كان النحو في بلاد مصر والشام مشابهًا للنحو البغدادي في قوامه في المزج بين أراء البصريين والكوفيين.</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2- كان لكتاب سيبويه أثر بارزا في نمو نحو البلدين؛ إذا انكب النحاة عليه فهمًا وشرحًا وتدريسًا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3- اتسم النحو في مصر والشام باتساع حركة التأليف, وتمثلت تلك الحركة في شرح كتب القدماء والرد على بعض </w:t>
      </w:r>
      <w:proofErr w:type="spellStart"/>
      <w:r w:rsidRPr="00EB1D09">
        <w:rPr>
          <w:rFonts w:ascii="Simplified Arabic" w:hAnsi="Simplified Arabic" w:cs="Simplified Arabic"/>
          <w:sz w:val="32"/>
          <w:szCs w:val="32"/>
          <w:rtl/>
        </w:rPr>
        <w:t>أرائهم</w:t>
      </w:r>
      <w:proofErr w:type="spellEnd"/>
      <w:r w:rsidRPr="00EB1D09">
        <w:rPr>
          <w:rFonts w:ascii="Simplified Arabic" w:hAnsi="Simplified Arabic" w:cs="Simplified Arabic"/>
          <w:sz w:val="32"/>
          <w:szCs w:val="32"/>
          <w:rtl/>
        </w:rPr>
        <w:t xml:space="preserve">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النشاط النحوي في مصر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كان طبيعيا أن تنشط دراسات النحو في مصر مبكرة مع العناية بضبط القرآن الكريم </w:t>
      </w:r>
      <w:proofErr w:type="spellStart"/>
      <w:r w:rsidRPr="00EB1D09">
        <w:rPr>
          <w:rFonts w:ascii="Simplified Arabic" w:hAnsi="Simplified Arabic" w:cs="Simplified Arabic"/>
          <w:sz w:val="32"/>
          <w:szCs w:val="32"/>
          <w:rtl/>
        </w:rPr>
        <w:t>وقرآءاته</w:t>
      </w:r>
      <w:proofErr w:type="spellEnd"/>
      <w:r w:rsidRPr="00EB1D09">
        <w:rPr>
          <w:rFonts w:ascii="Simplified Arabic" w:hAnsi="Simplified Arabic" w:cs="Simplified Arabic"/>
          <w:sz w:val="32"/>
          <w:szCs w:val="32"/>
          <w:rtl/>
        </w:rPr>
        <w:t xml:space="preserve"> , ما دفع الى نشوء طبقة من المؤدبين كانوا يعلّمون الشباب في الفسطاط , والإسكندرية مبادئ العربية حتى يحسنوا تلاوة الذكر الحكيم , ومن أقدمهم عبد الرحمن بن هرمز تلميذ أبي الأسود الدؤلي , وأول نحوي حمل بمصر راية النحو بمعناه الدقيق : ولاّد بن محمد التميمي البصري الأصل الناشئ بالفسطاط ( ت 263هـ )، وقد رحل إلى العراق, فلقي الخليل بن أحمد وأخذ عنه , ولازمه وسمع منه الكثير.</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وتلت هذه الطبقة طبقه ثانية لمع فيها اسم أحمد بن جعفر ( ت 289هـ ) الذي رحل من موطنه </w:t>
      </w:r>
      <w:proofErr w:type="spellStart"/>
      <w:r w:rsidRPr="00EB1D09">
        <w:rPr>
          <w:rFonts w:ascii="Simplified Arabic" w:hAnsi="Simplified Arabic" w:cs="Simplified Arabic"/>
          <w:sz w:val="32"/>
          <w:szCs w:val="32"/>
          <w:rtl/>
        </w:rPr>
        <w:t>دينور</w:t>
      </w:r>
      <w:proofErr w:type="spellEnd"/>
      <w:r w:rsidRPr="00EB1D09">
        <w:rPr>
          <w:rFonts w:ascii="Simplified Arabic" w:hAnsi="Simplified Arabic" w:cs="Simplified Arabic"/>
          <w:sz w:val="32"/>
          <w:szCs w:val="32"/>
          <w:rtl/>
        </w:rPr>
        <w:t xml:space="preserve"> إلى البصرة في طلب النحو, فأخذ عن المازني وحمل عنه كتاب سيبويه, وكان يعاصره محمد بن ولاد بن محمد التميمي على دراسة العربية، وبدأ بأخذ كلّ ما عند الدينوري , ومعاصريه من النحاة المصريين أمثال محمود بن حسان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ونزل في سنه 287هـ بمصر نحوي بصري من تلاميذ المبرد هو علي بن سليمان الاخفش الصغير، وظلّ بها حتى سنة 300هـ  يُعلّم النحو واللغة , وله تصانيف مختلفة فيه , من أهمها شرحه على كتاب سيبويه , وكان يتعصب للمبرد والبصريين في تصانيفه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وما نكاد نمضي في القرن الرابع الهجري لعصر الدولة </w:t>
      </w:r>
      <w:proofErr w:type="spellStart"/>
      <w:r w:rsidRPr="00EB1D09">
        <w:rPr>
          <w:rFonts w:ascii="Simplified Arabic" w:hAnsi="Simplified Arabic" w:cs="Simplified Arabic"/>
          <w:sz w:val="32"/>
          <w:szCs w:val="32"/>
          <w:rtl/>
        </w:rPr>
        <w:t>الإخشيدية</w:t>
      </w:r>
      <w:proofErr w:type="spellEnd"/>
      <w:r w:rsidRPr="00EB1D09">
        <w:rPr>
          <w:rFonts w:ascii="Simplified Arabic" w:hAnsi="Simplified Arabic" w:cs="Simplified Arabic"/>
          <w:sz w:val="32"/>
          <w:szCs w:val="32"/>
          <w:rtl/>
        </w:rPr>
        <w:t> حتى ظهر طائفة من النحاة النابهين , في مقدمتهم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كراع النمل ( ت 316هـ) رحل إلى بغداد وأخذ عن النحويين البصريين والكوفيين , وكان يمزج في مصنفاته بين </w:t>
      </w:r>
      <w:proofErr w:type="spellStart"/>
      <w:r w:rsidRPr="00EB1D09">
        <w:rPr>
          <w:rFonts w:ascii="Simplified Arabic" w:hAnsi="Simplified Arabic" w:cs="Simplified Arabic"/>
          <w:sz w:val="32"/>
          <w:szCs w:val="32"/>
          <w:rtl/>
        </w:rPr>
        <w:t>أرائهما</w:t>
      </w:r>
      <w:proofErr w:type="spellEnd"/>
      <w:r w:rsidRPr="00EB1D09">
        <w:rPr>
          <w:rFonts w:ascii="Simplified Arabic" w:hAnsi="Simplified Arabic" w:cs="Simplified Arabic"/>
          <w:sz w:val="32"/>
          <w:szCs w:val="32"/>
          <w:rtl/>
        </w:rPr>
        <w:t>, وكان إلى أراء البصريين أميل. صنّف في اللغة كتبًا مختلفة, من أهمها (المنجد), ويقال إنّه لقب بكراع النمل لقصره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وأنبه منه وأشهر أبو العباس أحمد بن محمد بن ولاد ( ت 332هـ )، ورث العناية بالنحو والانكباب على درسه عن أبيه وجده, وإليه صارت نسخة أبيه من كتاب سيبويه التي أخذها عن المبرد, وكان يعجب بذكائه وبصره بمسائل النحو وقدرته على استنباط, وعاد إلى موطنه, وأخذ يفيد الطلاب ويصنف في اللغة إلى أن توفي، وأخذ عن المنذر بن سعيد قاضي قضاة الأندلس معجم العين المنسوب للخليل.</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ومن مصنفاته المطبوعة كتاب (المقصور والممدود )على حروف المعجم وهو كتاب نفيس في بابه , وله كتاب (الانتصار لسيبويه من المبرد )، وله أراء نحوية مختلفة.</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ومن علماء المدرسة المصرية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الحاجب :</w:t>
      </w:r>
    </w:p>
    <w:p w:rsid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عمر جمال الدين بن عمر بن أبي بكر الكردي الأصل , كان أبوه حاجبا للأمير عز الدين الصلاحي  (ت 646هـ )</w:t>
      </w:r>
      <w:r>
        <w:rPr>
          <w:rFonts w:ascii="Simplified Arabic" w:hAnsi="Simplified Arabic" w:cs="Simplified Arabic" w:hint="cs"/>
          <w:sz w:val="32"/>
          <w:szCs w:val="32"/>
          <w:rtl/>
        </w:rPr>
        <w:t>.</w:t>
      </w:r>
    </w:p>
    <w:p w:rsidR="00EB1D09" w:rsidRPr="00EB1D09" w:rsidRDefault="00EB1D09" w:rsidP="00EB1D09">
      <w:pPr>
        <w:jc w:val="right"/>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w:t>
      </w:r>
      <w:r w:rsidRPr="00EB1D09">
        <w:rPr>
          <w:rFonts w:ascii="Simplified Arabic" w:hAnsi="Simplified Arabic" w:cs="Simplified Arabic"/>
          <w:sz w:val="32"/>
          <w:szCs w:val="32"/>
          <w:rtl/>
        </w:rPr>
        <w:t>نشأ بالقاهرة , وأكبَّ على الدراسة والتحصيل ؛ حتى أصبح علما في الفقه على مالك , وفي الأصول والنحو, وقد رحل إلى دمشق , وأقبل الطلاب يفيدون من علمه الغزير , ثم عاد إلى القاهرة ودرس النحو بالمدرسة الفاضلية.</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دقيق النظر, فخاض في تعليلات كثيرة مستنبطا منها مالا يكاد يظفر به عند أحد , ومن ذلك : تعليله بناء الاسم بشبهه للحرف من وجه واحد , ومنعه الاسم من الصرف بشبهه للفعل من وجهين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 له أراء اتفق فيها مع بعض النحاة, وأخرى خالف فيها جمهرتهم.</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له مصنفات كثيرة, ومن أهمها :( الكافية ) في النحو , طبع مرارا بشرح الرضي </w:t>
      </w:r>
      <w:proofErr w:type="spellStart"/>
      <w:r w:rsidRPr="00EB1D09">
        <w:rPr>
          <w:rFonts w:ascii="Simplified Arabic" w:hAnsi="Simplified Arabic" w:cs="Simplified Arabic"/>
          <w:sz w:val="32"/>
          <w:szCs w:val="32"/>
          <w:rtl/>
        </w:rPr>
        <w:t>الاستراباذي</w:t>
      </w:r>
      <w:proofErr w:type="spellEnd"/>
      <w:r w:rsidRPr="00EB1D09">
        <w:rPr>
          <w:rFonts w:ascii="Simplified Arabic" w:hAnsi="Simplified Arabic" w:cs="Simplified Arabic"/>
          <w:sz w:val="32"/>
          <w:szCs w:val="32"/>
          <w:rtl/>
        </w:rPr>
        <w:t xml:space="preserve"> وغيره, و(الشافية ) في فن الصرف, وشرحه مطبوع.</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هشام</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جمال الدين عبدا لله بن يوسف بن أحمد بن عبد الله بن هشام الأنصاري المصري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ولد بالقاهرة سنة708هـ , وبها توفى سنة 761هـ ,وله مصنفات كثيرة منها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كتاب ( مغنى اللبيب عن كتب </w:t>
      </w:r>
      <w:proofErr w:type="spellStart"/>
      <w:r w:rsidRPr="00EB1D09">
        <w:rPr>
          <w:rFonts w:ascii="Simplified Arabic" w:hAnsi="Simplified Arabic" w:cs="Simplified Arabic"/>
          <w:sz w:val="32"/>
          <w:szCs w:val="32"/>
          <w:rtl/>
        </w:rPr>
        <w:t>الأعاريب</w:t>
      </w:r>
      <w:proofErr w:type="spellEnd"/>
      <w:r w:rsidRPr="00EB1D09">
        <w:rPr>
          <w:rFonts w:ascii="Simplified Arabic" w:hAnsi="Simplified Arabic" w:cs="Simplified Arabic"/>
          <w:sz w:val="32"/>
          <w:szCs w:val="32"/>
          <w:rtl/>
        </w:rPr>
        <w:t xml:space="preserve"> ) و (أوضح المسالك إلى ألفية ابن مالك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 قطر الندى وبل </w:t>
      </w:r>
      <w:proofErr w:type="spellStart"/>
      <w:r w:rsidRPr="00EB1D09">
        <w:rPr>
          <w:rFonts w:ascii="Simplified Arabic" w:hAnsi="Simplified Arabic" w:cs="Simplified Arabic"/>
          <w:sz w:val="32"/>
          <w:szCs w:val="32"/>
          <w:rtl/>
        </w:rPr>
        <w:t>الصدا</w:t>
      </w:r>
      <w:proofErr w:type="spellEnd"/>
      <w:r w:rsidRPr="00EB1D09">
        <w:rPr>
          <w:rFonts w:ascii="Simplified Arabic" w:hAnsi="Simplified Arabic" w:cs="Simplified Arabic"/>
          <w:sz w:val="32"/>
          <w:szCs w:val="32"/>
          <w:rtl/>
        </w:rPr>
        <w:t xml:space="preserve"> ) و ( الإعراب عن قواعد الإعراب ).</w:t>
      </w:r>
    </w:p>
    <w:p w:rsidR="00EB1D09" w:rsidRDefault="00EB1D09" w:rsidP="00EB1D09">
      <w:pPr>
        <w:jc w:val="right"/>
        <w:rPr>
          <w:rFonts w:ascii="Simplified Arabic" w:hAnsi="Simplified Arabic" w:cs="Simplified Arabic" w:hint="cs"/>
          <w:sz w:val="32"/>
          <w:szCs w:val="32"/>
          <w:rtl/>
        </w:rPr>
      </w:pPr>
      <w:r w:rsidRPr="00EB1D09">
        <w:rPr>
          <w:rFonts w:ascii="Simplified Arabic" w:hAnsi="Simplified Arabic" w:cs="Simplified Arabic"/>
          <w:sz w:val="32"/>
          <w:szCs w:val="32"/>
          <w:rtl/>
        </w:rPr>
        <w:t>ومنهجه هو منهج المدرسة البغدادية .</w:t>
      </w:r>
    </w:p>
    <w:p w:rsidR="003439E2" w:rsidRDefault="003439E2" w:rsidP="00EB1D09">
      <w:pPr>
        <w:jc w:val="right"/>
        <w:rPr>
          <w:rFonts w:ascii="Simplified Arabic" w:hAnsi="Simplified Arabic" w:cs="Simplified Arabic" w:hint="cs"/>
          <w:sz w:val="32"/>
          <w:szCs w:val="32"/>
          <w:rtl/>
        </w:rPr>
      </w:pPr>
    </w:p>
    <w:p w:rsidR="003439E2" w:rsidRPr="00EB1D09" w:rsidRDefault="003439E2" w:rsidP="00EB1D09">
      <w:pPr>
        <w:jc w:val="right"/>
        <w:rPr>
          <w:rFonts w:ascii="Simplified Arabic" w:hAnsi="Simplified Arabic" w:cs="Simplified Arabic"/>
          <w:sz w:val="32"/>
          <w:szCs w:val="32"/>
          <w:rtl/>
        </w:rPr>
      </w:pP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 xml:space="preserve">*  </w:t>
      </w:r>
      <w:bookmarkStart w:id="0" w:name="_GoBack"/>
      <w:r w:rsidRPr="00EB1D09">
        <w:rPr>
          <w:rFonts w:ascii="Simplified Arabic" w:hAnsi="Simplified Arabic" w:cs="Simplified Arabic"/>
          <w:sz w:val="32"/>
          <w:szCs w:val="32"/>
          <w:rtl/>
        </w:rPr>
        <w:t xml:space="preserve">ابن </w:t>
      </w:r>
      <w:proofErr w:type="spellStart"/>
      <w:r w:rsidRPr="00EB1D09">
        <w:rPr>
          <w:rFonts w:ascii="Simplified Arabic" w:hAnsi="Simplified Arabic" w:cs="Simplified Arabic"/>
          <w:sz w:val="32"/>
          <w:szCs w:val="32"/>
          <w:rtl/>
        </w:rPr>
        <w:t>بابشاذ</w:t>
      </w:r>
      <w:proofErr w:type="spellEnd"/>
    </w:p>
    <w:bookmarkEnd w:id="0"/>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طاهر بن أحمد المصري (ت 469هـ  ) أصله من الديلم , وفد العراق تاجرا، ولكنه انصرف إلى طلب العلم, فأخذ عن نحاة بغداد وعلمائها, ثم اتجه إلى مصر وتصدر للتدريس في جامع عمرو بن العاص , وله تصانيف في النحو منها:</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المقدمة في النحو وشرحها) و( شرح الجمل للزجاجي ) و( شرح الأصول لابن السراج)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بري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محمد عبد الله بن بري المصري ( ت 582هـ ) , هو أكبر نحاة مصر مصري المولد والمنشأ مقدسي الأصل , كان  قيما بالنحو وباللغة وشواهدها, له مصنفات كثيرة , منها ( حواش على درة الغواص في أوهام الخواص للحريري ) و( حواش على معجم الصحاح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 </w:t>
      </w:r>
      <w:proofErr w:type="spellStart"/>
      <w:r w:rsidRPr="00EB1D09">
        <w:rPr>
          <w:rFonts w:ascii="Simplified Arabic" w:hAnsi="Simplified Arabic" w:cs="Simplified Arabic"/>
          <w:sz w:val="32"/>
          <w:szCs w:val="32"/>
          <w:rtl/>
        </w:rPr>
        <w:t>الحوفي</w:t>
      </w:r>
      <w:proofErr w:type="spellEnd"/>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علي بن إبراهيم , سمع من علماء مصر , وبعض علماء المغرب  صنّف في إعراب القرآن,  وصنّف أيضا في تفسير القرآن وعلومه , وصنّف مصنفا استوفى فيه العلل والأصول في النحو سمّاه ( الموضح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نحاة متأخرون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كان للدراسات النحوية في مصر نشاط واسع, أخذ يتكاثر بمرور الوقت, وصنعوا الشروح والحواشي على مصنفات ابن هشام وابن مالك, منهم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   ابن عقيل</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أبو عبد الرحمن بهاء الدين عبد الله بن عبد الرحمن ( ت 769هـ ), وكان يُعنى بالقراءات والتفسير والأصول والفقه, له شرح ألفية ابن مالك, وله شرح على التسهيل لابن مالك أيضا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الصائغ</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شمس الدين محمد بن عبد الرحمن ( ت 776هـ )، لازم أبا حيان النحوي, وله مصنفات مختلفة: منها ( التذكرة ) في عدة مجلدات, وشرح على ألفية ابن مالك.</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خالد الأزهري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زين الدين خالد بن عبد الرحمن , أخذ العلم عن علماء مصر ( ت 905هـ )، له عدة مصنفات نافعة: من مصنفاته النحوية ( المقدمة الأزهرية ) في علم الغريب وشرح عليها، وشرح على كتاب ابن هشام (الإعراب عن قواعد الإعراب )، وشرح الألفية , وأهم شروحه (شرح التصريح على التوضيح) لابن مالك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السيوطي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الفضل  جلال الدين عبد الرحمن بن أبي بكر, وهو من أغزر العلماء المصرين في عصره تأليفا في جميع الميادين: في التفسير والحديث والفقه والتاريخ والتراجم واللغة والنحو ( ت911هـ )، ومن أنفس كتبه اللغوية: كتاب (المزهر في علوم اللغة)، وله مصنفات مختلفة منها في أصول النحو: كتاب ( الاقتراح في أصول النحو )، وكتاب (الأشباه والنظائر)، وفي النحو : كتاب ( جمع الجوامع , وشرحه همع </w:t>
      </w:r>
      <w:proofErr w:type="spellStart"/>
      <w:r w:rsidRPr="00EB1D09">
        <w:rPr>
          <w:rFonts w:ascii="Simplified Arabic" w:hAnsi="Simplified Arabic" w:cs="Simplified Arabic"/>
          <w:sz w:val="32"/>
          <w:szCs w:val="32"/>
          <w:rtl/>
        </w:rPr>
        <w:t>الهوامع</w:t>
      </w:r>
      <w:proofErr w:type="spellEnd"/>
      <w:r w:rsidRPr="00EB1D09">
        <w:rPr>
          <w:rFonts w:ascii="Simplified Arabic" w:hAnsi="Simplified Arabic" w:cs="Simplified Arabic"/>
          <w:sz w:val="32"/>
          <w:szCs w:val="32"/>
          <w:rtl/>
        </w:rPr>
        <w:t xml:space="preserve"> ) , وفي التراجم :( بغية </w:t>
      </w:r>
      <w:proofErr w:type="spellStart"/>
      <w:r w:rsidRPr="00EB1D09">
        <w:rPr>
          <w:rFonts w:ascii="Simplified Arabic" w:hAnsi="Simplified Arabic" w:cs="Simplified Arabic"/>
          <w:sz w:val="32"/>
          <w:szCs w:val="32"/>
          <w:rtl/>
        </w:rPr>
        <w:t>الوعاة</w:t>
      </w:r>
      <w:proofErr w:type="spellEnd"/>
      <w:r w:rsidRPr="00EB1D09">
        <w:rPr>
          <w:rFonts w:ascii="Simplified Arabic" w:hAnsi="Simplified Arabic" w:cs="Simplified Arabic"/>
          <w:sz w:val="32"/>
          <w:szCs w:val="32"/>
          <w:rtl/>
        </w:rPr>
        <w:t xml:space="preserve"> في طبقات اللغويين والنحاة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نشأة النحو في بلاد الشام</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لم تكن الشام مهدا وثيرا للنحو كما كانت بلاد المشرق , وقد ذهب علماء الشام إلى العراق، وسمعوا من علمائه ثم نشروه في الشام , كما ورد بعض علماء العراق الشام وأقاموا فيها , مثل : الزجاجي والفارسي وابن </w:t>
      </w:r>
      <w:proofErr w:type="spellStart"/>
      <w:r w:rsidRPr="00EB1D09">
        <w:rPr>
          <w:rFonts w:ascii="Simplified Arabic" w:hAnsi="Simplified Arabic" w:cs="Simplified Arabic"/>
          <w:sz w:val="32"/>
          <w:szCs w:val="32"/>
          <w:rtl/>
        </w:rPr>
        <w:t>خالويه</w:t>
      </w:r>
      <w:proofErr w:type="spellEnd"/>
      <w:r w:rsidRPr="00EB1D09">
        <w:rPr>
          <w:rFonts w:ascii="Simplified Arabic" w:hAnsi="Simplified Arabic" w:cs="Simplified Arabic"/>
          <w:sz w:val="32"/>
          <w:szCs w:val="32"/>
          <w:rtl/>
        </w:rPr>
        <w:t xml:space="preserve"> وابن جني. وقد كان لتشجيع الدولة الحمدانية في الشام وتمجيدهم العروبة وعلماءها الداعي القوي في تحبيب العلماء الإقامة في الشام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ولما جاءت الدولة الفاطمية التي كانت العناية بالعلماء فيها أوفر، وبخاصة في الدواوين؛ حيث كانت تعين مراقب عليها ممن عرف بالنحو وعلوم العربية، وممن تولى هذا المنصب ابن بري وابن </w:t>
      </w:r>
      <w:proofErr w:type="spellStart"/>
      <w:r w:rsidRPr="00EB1D09">
        <w:rPr>
          <w:rFonts w:ascii="Simplified Arabic" w:hAnsi="Simplified Arabic" w:cs="Simplified Arabic"/>
          <w:sz w:val="32"/>
          <w:szCs w:val="32"/>
          <w:rtl/>
        </w:rPr>
        <w:t>بابشاذ</w:t>
      </w:r>
      <w:proofErr w:type="spellEnd"/>
      <w:r w:rsidRPr="00EB1D09">
        <w:rPr>
          <w:rFonts w:ascii="Simplified Arabic" w:hAnsi="Simplified Arabic" w:cs="Simplified Arabic"/>
          <w:sz w:val="32"/>
          <w:szCs w:val="32"/>
          <w:rtl/>
        </w:rPr>
        <w:t>.</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وجاءت الدولة </w:t>
      </w:r>
      <w:proofErr w:type="spellStart"/>
      <w:r w:rsidRPr="00EB1D09">
        <w:rPr>
          <w:rFonts w:ascii="Simplified Arabic" w:hAnsi="Simplified Arabic" w:cs="Simplified Arabic"/>
          <w:sz w:val="32"/>
          <w:szCs w:val="32"/>
          <w:rtl/>
        </w:rPr>
        <w:t>الأيوبية</w:t>
      </w:r>
      <w:proofErr w:type="spellEnd"/>
      <w:r w:rsidRPr="00EB1D09">
        <w:rPr>
          <w:rFonts w:ascii="Simplified Arabic" w:hAnsi="Simplified Arabic" w:cs="Simplified Arabic"/>
          <w:sz w:val="32"/>
          <w:szCs w:val="32"/>
          <w:rtl/>
        </w:rPr>
        <w:t xml:space="preserve"> وهي وإن كانت كرديه الأصل إلا أنّها كانت تجل العلماء وتحبوهم , وقد ورد في ترجمه الكندي أنّ الأمير (</w:t>
      </w:r>
      <w:proofErr w:type="spellStart"/>
      <w:r w:rsidRPr="00EB1D09">
        <w:rPr>
          <w:rFonts w:ascii="Simplified Arabic" w:hAnsi="Simplified Arabic" w:cs="Simplified Arabic"/>
          <w:sz w:val="32"/>
          <w:szCs w:val="32"/>
          <w:rtl/>
        </w:rPr>
        <w:t>فروخشاه</w:t>
      </w:r>
      <w:proofErr w:type="spellEnd"/>
      <w:r w:rsidRPr="00EB1D09">
        <w:rPr>
          <w:rFonts w:ascii="Simplified Arabic" w:hAnsi="Simplified Arabic" w:cs="Simplified Arabic"/>
          <w:sz w:val="32"/>
          <w:szCs w:val="32"/>
          <w:rtl/>
        </w:rPr>
        <w:t xml:space="preserve">) أحسن وفادته في دمشق , </w:t>
      </w:r>
      <w:proofErr w:type="spellStart"/>
      <w:r w:rsidRPr="00EB1D09">
        <w:rPr>
          <w:rFonts w:ascii="Simplified Arabic" w:hAnsi="Simplified Arabic" w:cs="Simplified Arabic"/>
          <w:sz w:val="32"/>
          <w:szCs w:val="32"/>
          <w:rtl/>
        </w:rPr>
        <w:t>واستوزره</w:t>
      </w:r>
      <w:proofErr w:type="spellEnd"/>
      <w:r w:rsidRPr="00EB1D09">
        <w:rPr>
          <w:rFonts w:ascii="Simplified Arabic" w:hAnsi="Simplified Arabic" w:cs="Simplified Arabic"/>
          <w:sz w:val="32"/>
          <w:szCs w:val="32"/>
          <w:rtl/>
        </w:rPr>
        <w:t>، وبوّأ له مقاما رغيبا فيها حتى قضى نحبه , وأنّ الملك عيسى الأيوبي تلقى عنه كتاب سيبويه وشرحه , وإيضاح الفارسي , وبلغ حبه للعربية وإجلاله ذويها أنّه قد شرط لمن يحفظ المفصل للزمخشري مائه دينار.</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لهذا ظهر بالشام في هذا العهد بعض علماء النحو الذين أخذوا عن أسلافهم، فكانوا كمن سبقهم يقفون مذاهب العراقيين , وليس بخافٍ أنّ المشتغلين بالنحو في الشام كانوا قليلي العدد لكثرة الشغب فيها من عدوان الصليبين والتتر حينا بعد آخر حتى آل الأمر إلى المماليك.</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نحاة الشام</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يعيش</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lastRenderedPageBreak/>
        <w:t>هو أبو البقاء موفق الدين يعيش بن علي بن يعيش نشأ بحلب , ثم ارتحل إلى بغداد ولم يطل المكوث فيها, ثم عاد إلى حلب, ثم رحل إلى دمشق, ثم قفل ابن يعيش بعد هذا التطواف إلى بلده حلب , وأستقر فيها للإفادة . ( ت643هـ ). من مؤلفاته شرح على المفصل للزمخشري في غاية الجودة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معط</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زين الدين أبو الحسين يحيى بن عبد المعطى الزواوي ولد بالمغرب, رحل إلى دمشق واستوطنها,  ثم أرغبه الملك الكامل الأيوبي في القدوم إلى مصر. من مؤلفاته (الألفية) في النحو التي سبق بها ألفية ابن مالك، توفي بالقاهرة عام 628هـ.</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الحاجب</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xml:space="preserve">أبو عمر عثمان جمال الدين بن عمر الكردي الأصل المشهور بابن الحاجب، ولد ابن الحاجب </w:t>
      </w:r>
      <w:proofErr w:type="spellStart"/>
      <w:r w:rsidRPr="00EB1D09">
        <w:rPr>
          <w:rFonts w:ascii="Simplified Arabic" w:hAnsi="Simplified Arabic" w:cs="Simplified Arabic"/>
          <w:sz w:val="32"/>
          <w:szCs w:val="32"/>
          <w:rtl/>
        </w:rPr>
        <w:t>بإسنا</w:t>
      </w:r>
      <w:proofErr w:type="spellEnd"/>
      <w:r w:rsidRPr="00EB1D09">
        <w:rPr>
          <w:rFonts w:ascii="Simplified Arabic" w:hAnsi="Simplified Arabic" w:cs="Simplified Arabic"/>
          <w:sz w:val="32"/>
          <w:szCs w:val="32"/>
          <w:rtl/>
        </w:rPr>
        <w:t>، ثم تعهده أبوه بالقاهرة، ثم انتقل الى دمشق. اشتهر بالتصانيف المختصرة المنقحة في جملة من العلوم فمنها في النحو (الإيضاح) و(</w:t>
      </w:r>
      <w:proofErr w:type="spellStart"/>
      <w:r w:rsidRPr="00EB1D09">
        <w:rPr>
          <w:rFonts w:ascii="Simplified Arabic" w:hAnsi="Simplified Arabic" w:cs="Simplified Arabic"/>
          <w:sz w:val="32"/>
          <w:szCs w:val="32"/>
          <w:rtl/>
        </w:rPr>
        <w:t>الأمالي</w:t>
      </w:r>
      <w:proofErr w:type="spellEnd"/>
      <w:r w:rsidRPr="00EB1D09">
        <w:rPr>
          <w:rFonts w:ascii="Simplified Arabic" w:hAnsi="Simplified Arabic" w:cs="Simplified Arabic"/>
          <w:sz w:val="32"/>
          <w:szCs w:val="32"/>
          <w:rtl/>
        </w:rPr>
        <w:t>) و(</w:t>
      </w:r>
      <w:proofErr w:type="spellStart"/>
      <w:r w:rsidRPr="00EB1D09">
        <w:rPr>
          <w:rFonts w:ascii="Simplified Arabic" w:hAnsi="Simplified Arabic" w:cs="Simplified Arabic"/>
          <w:sz w:val="32"/>
          <w:szCs w:val="32"/>
          <w:rtl/>
        </w:rPr>
        <w:t>الكافيه</w:t>
      </w:r>
      <w:proofErr w:type="spellEnd"/>
      <w:r w:rsidRPr="00EB1D09">
        <w:rPr>
          <w:rFonts w:ascii="Simplified Arabic" w:hAnsi="Simplified Arabic" w:cs="Simplified Arabic"/>
          <w:sz w:val="32"/>
          <w:szCs w:val="32"/>
          <w:rtl/>
        </w:rPr>
        <w:t>) وشرحها، توفي بالإسكندرية سنه 646هـ.</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السخاوي</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أبو الحسن علم الدين علي بن محمد ولد في سخا في مصر, ثم  انتقل إلى دمشق وسمع من الكندي وغيره , ( ت 643هـ ). ومن تصانيفه النحوية ( شرح أحاجي الزمخشري )، وشرحان للمفصل، وله ألغاز في النحو .</w:t>
      </w:r>
    </w:p>
    <w:p w:rsidR="00EB1D09" w:rsidRPr="00EB1D09" w:rsidRDefault="00EB1D09" w:rsidP="00EB1D09">
      <w:pPr>
        <w:jc w:val="right"/>
        <w:rPr>
          <w:rFonts w:ascii="Simplified Arabic" w:hAnsi="Simplified Arabic" w:cs="Simplified Arabic"/>
          <w:sz w:val="32"/>
          <w:szCs w:val="32"/>
          <w:rtl/>
        </w:rPr>
      </w:pPr>
      <w:r w:rsidRPr="00EB1D09">
        <w:rPr>
          <w:rFonts w:ascii="Simplified Arabic" w:hAnsi="Simplified Arabic" w:cs="Simplified Arabic"/>
          <w:sz w:val="32"/>
          <w:szCs w:val="32"/>
          <w:rtl/>
        </w:rPr>
        <w:t>*  ابن الناظم</w:t>
      </w:r>
    </w:p>
    <w:p w:rsidR="00EB1D09" w:rsidRDefault="00EB1D09" w:rsidP="00EB1D09">
      <w:pPr>
        <w:jc w:val="right"/>
      </w:pPr>
      <w:r w:rsidRPr="00EB1D09">
        <w:rPr>
          <w:rFonts w:ascii="Simplified Arabic" w:hAnsi="Simplified Arabic" w:cs="Simplified Arabic"/>
          <w:sz w:val="32"/>
          <w:szCs w:val="32"/>
          <w:rtl/>
        </w:rPr>
        <w:lastRenderedPageBreak/>
        <w:t>بدر الدين  محمد بن محمد بن مالك, ولد بدمشق وأخذ عن أبيه, ثم أقام في بعلبك، من مؤلفاته النحوية شرحه على ألفيه والده، ومات بدمشق سنه 686هـ.</w:t>
      </w:r>
    </w:p>
    <w:sectPr w:rsidR="00EB1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09"/>
    <w:rsid w:val="003439E2"/>
    <w:rsid w:val="00C467C8"/>
    <w:rsid w:val="00EB1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B1D09"/>
    <w:rPr>
      <w:b/>
      <w:bCs/>
    </w:rPr>
  </w:style>
  <w:style w:type="character" w:styleId="Hyperlink">
    <w:name w:val="Hyperlink"/>
    <w:basedOn w:val="a0"/>
    <w:uiPriority w:val="99"/>
    <w:unhideWhenUsed/>
    <w:rsid w:val="00EB1D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B1D09"/>
    <w:rPr>
      <w:b/>
      <w:bCs/>
    </w:rPr>
  </w:style>
  <w:style w:type="character" w:styleId="Hyperlink">
    <w:name w:val="Hyperlink"/>
    <w:basedOn w:val="a0"/>
    <w:uiPriority w:val="99"/>
    <w:unhideWhenUsed/>
    <w:rsid w:val="00EB1D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1287</Words>
  <Characters>7338</Characters>
  <Application>Microsoft Office Word</Application>
  <DocSecurity>0</DocSecurity>
  <Lines>61</Lines>
  <Paragraphs>17</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2021-11-02T14:16:00Z</dcterms:created>
  <dcterms:modified xsi:type="dcterms:W3CDTF">2022-01-20T22:13:00Z</dcterms:modified>
</cp:coreProperties>
</file>