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7B" w:rsidRPr="002B3CA4" w:rsidRDefault="008502B0">
      <w:pPr>
        <w:rPr>
          <w:b/>
          <w:bCs/>
          <w:sz w:val="36"/>
          <w:szCs w:val="36"/>
          <w:rtl/>
          <w:lang w:bidi="ar-IQ"/>
        </w:rPr>
      </w:pPr>
      <w:r w:rsidRPr="002B3CA4">
        <w:rPr>
          <w:rFonts w:hint="cs"/>
          <w:b/>
          <w:bCs/>
          <w:sz w:val="36"/>
          <w:szCs w:val="36"/>
          <w:rtl/>
          <w:lang w:bidi="ar-IQ"/>
        </w:rPr>
        <w:t>التنوير لغة وأصطلاحاً</w:t>
      </w:r>
    </w:p>
    <w:p w:rsidR="008502B0" w:rsidRDefault="008502B0" w:rsidP="002B3CA4">
      <w:pPr>
        <w:jc w:val="both"/>
        <w:rPr>
          <w:rtl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t>التنوير لغة :</w:t>
      </w:r>
      <w:r w:rsidRPr="002B3CA4">
        <w:rPr>
          <w:rFonts w:hint="cs"/>
          <w:sz w:val="28"/>
          <w:szCs w:val="28"/>
          <w:rtl/>
          <w:lang w:bidi="ar-IQ"/>
        </w:rPr>
        <w:t xml:space="preserve"> جاء في لسان العرب لأبن منظور أن التنوير هو وقت أسفار الصباح ، ويقال نور الصباح تنويراً ، والتنوير الإنارة ، والتنوير الأسفار . ويقال : صلَى الفجر في التنوير.</w:t>
      </w:r>
    </w:p>
    <w:p w:rsidR="00A25FD3" w:rsidRDefault="00A25FD3" w:rsidP="002B3CA4">
      <w:pPr>
        <w:jc w:val="both"/>
        <w:rPr>
          <w:rtl/>
          <w:lang w:bidi="ar-IQ"/>
        </w:rPr>
      </w:pPr>
    </w:p>
    <w:p w:rsidR="00A25FD3" w:rsidRPr="002B3CA4" w:rsidRDefault="00A25FD3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t>التنوير أصطلاحاً</w:t>
      </w:r>
      <w:bookmarkStart w:id="0" w:name="_GoBack"/>
      <w:bookmarkEnd w:id="0"/>
      <w:r w:rsidRPr="002B3CA4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  <w:r>
        <w:rPr>
          <w:rFonts w:hint="cs"/>
          <w:rtl/>
          <w:lang w:bidi="ar-IQ"/>
        </w:rPr>
        <w:t xml:space="preserve"> </w:t>
      </w:r>
      <w:r w:rsidRPr="002B3CA4">
        <w:rPr>
          <w:rFonts w:hint="cs"/>
          <w:sz w:val="28"/>
          <w:szCs w:val="28"/>
          <w:rtl/>
          <w:lang w:bidi="ar-IQ"/>
        </w:rPr>
        <w:t xml:space="preserve">هو الاستخدام العام لعقل الانسان في جميع القضايا ، وتبني شعار ( لا سلطان على العقل إلا للعقل ) ، وهو شجاعة استخدام العقل ولو كان ذلك ضد الدين </w:t>
      </w:r>
      <w:r w:rsidR="00E64DAB" w:rsidRPr="002B3CA4">
        <w:rPr>
          <w:rFonts w:hint="cs"/>
          <w:sz w:val="28"/>
          <w:szCs w:val="28"/>
          <w:rtl/>
          <w:lang w:bidi="ar-IQ"/>
        </w:rPr>
        <w:t>وضد النص ، والدعوة الى تجاوز العقائد الغيبية ،والإيمان بقدرة الانسان الذاتية على الفهم والتحليل والتشريع ، والدعوة الى الدولة العلمانية ، وهو الدعوة الى المنهج التجريبي الحسي المادي واعتباره المنهج الوحيد الجدير بالثقة والاتباع .</w:t>
      </w:r>
    </w:p>
    <w:p w:rsidR="00E64DAB" w:rsidRPr="002B3CA4" w:rsidRDefault="00E64DAB" w:rsidP="002B3CA4">
      <w:pPr>
        <w:jc w:val="both"/>
        <w:rPr>
          <w:sz w:val="28"/>
          <w:szCs w:val="28"/>
          <w:rtl/>
          <w:lang w:bidi="ar-IQ"/>
        </w:rPr>
      </w:pPr>
    </w:p>
    <w:p w:rsidR="00D16EB2" w:rsidRPr="002B3CA4" w:rsidRDefault="00D16EB2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sz w:val="28"/>
          <w:szCs w:val="28"/>
          <w:rtl/>
          <w:lang w:bidi="ar-IQ"/>
        </w:rPr>
        <w:t xml:space="preserve">التنوير يشير الى معنيين أساسيين معنى ديني يعني ( نور الله ) ومعنى فلسفي يعني ( نور العقل) . ومما لاشك فيه أن الربط بين المعرفة والنور ، كان ربطاً قديماً يعود في الأقل الى أفلاطون </w:t>
      </w:r>
      <w:r w:rsidR="00561BDE" w:rsidRPr="002B3CA4">
        <w:rPr>
          <w:rFonts w:hint="cs"/>
          <w:sz w:val="28"/>
          <w:szCs w:val="28"/>
          <w:rtl/>
          <w:lang w:bidi="ar-IQ"/>
        </w:rPr>
        <w:t xml:space="preserve">الذي ربط بين المعرفة من خلال أسطورة الكهف والى المسيحية التي ربطت بين النور والله ، وكذلك الحال في الإسلام . وتنزع معظم المعاجم </w:t>
      </w:r>
      <w:r w:rsidR="00433ABD" w:rsidRPr="002B3CA4">
        <w:rPr>
          <w:rFonts w:hint="cs"/>
          <w:sz w:val="28"/>
          <w:szCs w:val="28"/>
          <w:rtl/>
          <w:lang w:bidi="ar-IQ"/>
        </w:rPr>
        <w:t xml:space="preserve"> الفلسفية الى أن فكرة التنوير الغربية ترتبط ارتباطاً </w:t>
      </w:r>
      <w:r w:rsidR="00D15F80" w:rsidRPr="002B3CA4">
        <w:rPr>
          <w:rFonts w:hint="cs"/>
          <w:sz w:val="28"/>
          <w:szCs w:val="28"/>
          <w:rtl/>
          <w:lang w:bidi="ar-IQ"/>
        </w:rPr>
        <w:t xml:space="preserve">وثيقاً بالحركات العلمية والنزعات الإصلاحية والرؤى النقدية </w:t>
      </w:r>
      <w:r w:rsidR="009F6435" w:rsidRPr="002B3CA4">
        <w:rPr>
          <w:rFonts w:hint="cs"/>
          <w:sz w:val="28"/>
          <w:szCs w:val="28"/>
          <w:rtl/>
          <w:lang w:bidi="ar-IQ"/>
        </w:rPr>
        <w:t xml:space="preserve">التي تعول على العقل في مناقشة القضايا وحل المشكلات وعليه لا يمكننا حصر الفكر التنويري في عصر بعينه ، فعصر سقراط وفلاسفة الإسلام وعلمائه ، يمثل عصر التنوير في القرون الوسطى . والدعوة الى نقد الفكر الديني وسلطة الكنيسة والدفاع عن حرية التفكير والحرية السياسية والإعلاء من شأن الانسان والعلم والبحث عن اليات التقدم تعد خير ممثل لحركة التنوير الأوربية </w:t>
      </w:r>
      <w:r w:rsidRPr="002B3CA4">
        <w:rPr>
          <w:rFonts w:hint="cs"/>
          <w:sz w:val="28"/>
          <w:szCs w:val="28"/>
          <w:rtl/>
          <w:lang w:bidi="ar-IQ"/>
        </w:rPr>
        <w:t xml:space="preserve"> </w:t>
      </w:r>
      <w:r w:rsidR="009F6435" w:rsidRPr="002B3CA4">
        <w:rPr>
          <w:rFonts w:hint="cs"/>
          <w:sz w:val="28"/>
          <w:szCs w:val="28"/>
          <w:rtl/>
          <w:lang w:bidi="ar-IQ"/>
        </w:rPr>
        <w:t xml:space="preserve"> الحديثة </w:t>
      </w:r>
      <w:r w:rsidR="00206684" w:rsidRPr="002B3CA4">
        <w:rPr>
          <w:rFonts w:hint="cs"/>
          <w:sz w:val="28"/>
          <w:szCs w:val="28"/>
          <w:rtl/>
          <w:lang w:bidi="ar-IQ"/>
        </w:rPr>
        <w:t>.</w:t>
      </w:r>
    </w:p>
    <w:p w:rsidR="00206684" w:rsidRPr="002B3CA4" w:rsidRDefault="00206684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sz w:val="28"/>
          <w:szCs w:val="28"/>
          <w:rtl/>
          <w:lang w:bidi="ar-IQ"/>
        </w:rPr>
        <w:t xml:space="preserve">فنعرض العديد من التعريفات لهذا المصطلح </w:t>
      </w:r>
      <w:r w:rsidRPr="002B3CA4">
        <w:rPr>
          <w:rFonts w:hint="cs"/>
          <w:b/>
          <w:bCs/>
          <w:sz w:val="28"/>
          <w:szCs w:val="28"/>
          <w:rtl/>
          <w:lang w:bidi="ar-IQ"/>
        </w:rPr>
        <w:t>فنبدأ بتعريف الفيلسوف الألماني ( كانط )، أن التنوير أو</w:t>
      </w:r>
      <w:r w:rsidRPr="002B3CA4">
        <w:rPr>
          <w:rFonts w:hint="cs"/>
          <w:sz w:val="28"/>
          <w:szCs w:val="28"/>
          <w:rtl/>
          <w:lang w:bidi="ar-IQ"/>
        </w:rPr>
        <w:t xml:space="preserve"> </w:t>
      </w:r>
      <w:r w:rsidRPr="002B3CA4">
        <w:rPr>
          <w:rFonts w:hint="cs"/>
          <w:b/>
          <w:bCs/>
          <w:sz w:val="28"/>
          <w:szCs w:val="28"/>
          <w:rtl/>
          <w:lang w:bidi="ar-IQ"/>
        </w:rPr>
        <w:t>الأنوار :</w:t>
      </w:r>
      <w:r w:rsidRPr="002B3CA4">
        <w:rPr>
          <w:rFonts w:hint="cs"/>
          <w:sz w:val="28"/>
          <w:szCs w:val="28"/>
          <w:rtl/>
          <w:lang w:bidi="ar-IQ"/>
        </w:rPr>
        <w:t xml:space="preserve"> يعني خروج الانسان من قصوره العقلي الذي يبقى رازحاً فيه بسبب خطيئته . وحالة القصور العقلي تعني عجز المرء عن استعما</w:t>
      </w:r>
      <w:r w:rsidR="00E12203" w:rsidRPr="002B3CA4">
        <w:rPr>
          <w:rFonts w:hint="cs"/>
          <w:sz w:val="28"/>
          <w:szCs w:val="28"/>
          <w:rtl/>
          <w:lang w:bidi="ar-IQ"/>
        </w:rPr>
        <w:t>ل عقله اذ لم يكن موجهاً من شخص آخر ،والخطأ يقع علينا اذا كان هذا العجز ناتجاً لاعن نقص في العقل ، بل عن نفص في التصميم والشجاعة على استعمال العقل بدون أن نكون موجهين من قبل شخص أخر ، لتكن لك الشجاعة والجرأة على استعمال عقلك أيها الانسان .</w:t>
      </w:r>
    </w:p>
    <w:p w:rsidR="00E12203" w:rsidRPr="002B3CA4" w:rsidRDefault="00E12203" w:rsidP="002B3CA4">
      <w:pPr>
        <w:jc w:val="both"/>
        <w:rPr>
          <w:sz w:val="28"/>
          <w:szCs w:val="28"/>
          <w:rtl/>
          <w:lang w:bidi="ar-IQ"/>
        </w:rPr>
      </w:pPr>
    </w:p>
    <w:p w:rsidR="00E12203" w:rsidRPr="002B3CA4" w:rsidRDefault="00E12203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t>في حين يعرفه الفيلسوف الالماني هيردر:</w:t>
      </w:r>
      <w:r w:rsidRPr="002B3CA4">
        <w:rPr>
          <w:rFonts w:hint="cs"/>
          <w:sz w:val="28"/>
          <w:szCs w:val="28"/>
          <w:rtl/>
          <w:lang w:bidi="ar-IQ"/>
        </w:rPr>
        <w:t xml:space="preserve"> </w:t>
      </w:r>
      <w:r w:rsidR="00DD1794" w:rsidRPr="002B3CA4">
        <w:rPr>
          <w:rFonts w:hint="cs"/>
          <w:sz w:val="28"/>
          <w:szCs w:val="28"/>
          <w:rtl/>
          <w:lang w:bidi="ar-IQ"/>
        </w:rPr>
        <w:t>"</w:t>
      </w:r>
      <w:r w:rsidRPr="002B3CA4">
        <w:rPr>
          <w:rFonts w:hint="cs"/>
          <w:sz w:val="28"/>
          <w:szCs w:val="28"/>
          <w:rtl/>
          <w:lang w:bidi="ar-IQ"/>
        </w:rPr>
        <w:t>بأنه البحث عن آليات التقدم انطلاقاً من دراسة نقدية وافية لمراحل تطور التاريخ</w:t>
      </w:r>
      <w:r w:rsidR="00DD1794" w:rsidRPr="002B3CA4">
        <w:rPr>
          <w:rFonts w:hint="cs"/>
          <w:sz w:val="28"/>
          <w:szCs w:val="28"/>
          <w:rtl/>
          <w:lang w:bidi="ar-IQ"/>
        </w:rPr>
        <w:t xml:space="preserve"> </w:t>
      </w:r>
      <w:r w:rsidR="00663215" w:rsidRPr="002B3CA4">
        <w:rPr>
          <w:rFonts w:hint="cs"/>
          <w:sz w:val="28"/>
          <w:szCs w:val="28"/>
          <w:rtl/>
          <w:lang w:bidi="ar-IQ"/>
        </w:rPr>
        <w:t>الإنساني</w:t>
      </w:r>
      <w:r w:rsidR="00DD1794" w:rsidRPr="002B3CA4">
        <w:rPr>
          <w:rFonts w:hint="cs"/>
          <w:sz w:val="28"/>
          <w:szCs w:val="28"/>
          <w:rtl/>
          <w:lang w:bidi="ar-IQ"/>
        </w:rPr>
        <w:t xml:space="preserve"> والوقوف على أسباب ازدهار الحضارات وأفولها "</w:t>
      </w:r>
    </w:p>
    <w:p w:rsidR="00DD1794" w:rsidRPr="002B3CA4" w:rsidRDefault="00DD1794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t xml:space="preserve">بينما يعرفه أوترام في كتابه التنوير ، بأن التنوير يعني : </w:t>
      </w:r>
      <w:r w:rsidRPr="002B3CA4">
        <w:rPr>
          <w:rFonts w:hint="cs"/>
          <w:sz w:val="28"/>
          <w:szCs w:val="28"/>
          <w:rtl/>
          <w:lang w:bidi="ar-IQ"/>
        </w:rPr>
        <w:t>" الايمان بقوة العقل البشري على أن يغير المجتمع وأن يحرر الفرد من قيود العادات والسلطات الاعتباطية ويسند كل هذا الى رؤية عالمية يدعمها العلم وليس الدين أو التقاليد ".</w:t>
      </w:r>
    </w:p>
    <w:p w:rsidR="00DD1794" w:rsidRPr="002B3CA4" w:rsidRDefault="00DD1794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lastRenderedPageBreak/>
        <w:t>ويعبر عنه ليود سبنسر في كتابه (</w:t>
      </w:r>
      <w:r w:rsidR="006B6116" w:rsidRPr="002B3CA4">
        <w:rPr>
          <w:rFonts w:hint="cs"/>
          <w:b/>
          <w:bCs/>
          <w:sz w:val="28"/>
          <w:szCs w:val="28"/>
          <w:rtl/>
          <w:lang w:bidi="ar-IQ"/>
        </w:rPr>
        <w:t xml:space="preserve"> عصر التنوير ) :</w:t>
      </w:r>
      <w:r w:rsidR="006B6116">
        <w:rPr>
          <w:rFonts w:hint="cs"/>
          <w:rtl/>
          <w:lang w:bidi="ar-IQ"/>
        </w:rPr>
        <w:t xml:space="preserve"> </w:t>
      </w:r>
      <w:r w:rsidR="006B6116" w:rsidRPr="002B3CA4">
        <w:rPr>
          <w:rFonts w:hint="cs"/>
          <w:sz w:val="28"/>
          <w:szCs w:val="28"/>
          <w:rtl/>
          <w:lang w:bidi="ar-IQ"/>
        </w:rPr>
        <w:t xml:space="preserve">" بانه جزء من حركة عظمية تمثل القطاعات العليا </w:t>
      </w:r>
      <w:r w:rsidR="00A64DAD" w:rsidRPr="002B3CA4">
        <w:rPr>
          <w:rFonts w:hint="cs"/>
          <w:sz w:val="28"/>
          <w:szCs w:val="28"/>
          <w:rtl/>
          <w:lang w:bidi="ar-IQ"/>
        </w:rPr>
        <w:t>والإمكانات الرفيعة للجنس البشري ، فهم مصلحون يؤمنون بأن قضيتهم يمكن خدمتها على أفضل نحو عن طريق عاطفة جديدة للبرهان ، والنقد والنقاش " .</w:t>
      </w:r>
    </w:p>
    <w:p w:rsidR="00A64DAD" w:rsidRPr="002B3CA4" w:rsidRDefault="00A64DAD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t>في حين يعرفه مصطفى حسيبة في معجمه :</w:t>
      </w:r>
      <w:r>
        <w:rPr>
          <w:rFonts w:hint="cs"/>
          <w:rtl/>
          <w:lang w:bidi="ar-IQ"/>
        </w:rPr>
        <w:t xml:space="preserve"> </w:t>
      </w:r>
      <w:r w:rsidRPr="002B3CA4">
        <w:rPr>
          <w:rFonts w:hint="cs"/>
          <w:sz w:val="28"/>
          <w:szCs w:val="28"/>
          <w:rtl/>
          <w:lang w:bidi="ar-IQ"/>
        </w:rPr>
        <w:t xml:space="preserve">" أنه أتجاه فلسفي اجتماعي ، حاول ممثلوه أن </w:t>
      </w:r>
      <w:r w:rsidR="00B828BC" w:rsidRPr="002B3CA4">
        <w:rPr>
          <w:rFonts w:hint="cs"/>
          <w:sz w:val="28"/>
          <w:szCs w:val="28"/>
          <w:rtl/>
          <w:lang w:bidi="ar-IQ"/>
        </w:rPr>
        <w:t>يصححوا نقائض المجتمع القائم ،وأن يغيروا أخلاقياته وأساليبه وسياسته وأسلوبه في الحياة ، بنشر آراء في الخير والعدالة والمعرفة العلمية " .</w:t>
      </w:r>
    </w:p>
    <w:p w:rsidR="00B828BC" w:rsidRPr="002B3CA4" w:rsidRDefault="00B828BC" w:rsidP="002B3CA4">
      <w:pPr>
        <w:jc w:val="both"/>
        <w:rPr>
          <w:sz w:val="28"/>
          <w:szCs w:val="28"/>
          <w:rtl/>
          <w:lang w:bidi="ar-IQ"/>
        </w:rPr>
      </w:pPr>
    </w:p>
    <w:p w:rsidR="00B828BC" w:rsidRPr="002B3CA4" w:rsidRDefault="00B828BC" w:rsidP="002B3CA4">
      <w:pPr>
        <w:jc w:val="both"/>
        <w:rPr>
          <w:sz w:val="28"/>
          <w:szCs w:val="28"/>
          <w:rtl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t>ويعرفه أنصار العقد الاجتماعي :</w:t>
      </w:r>
      <w:r w:rsidRPr="002B3CA4">
        <w:rPr>
          <w:rFonts w:hint="cs"/>
          <w:sz w:val="28"/>
          <w:szCs w:val="28"/>
          <w:rtl/>
          <w:lang w:bidi="ar-IQ"/>
        </w:rPr>
        <w:t xml:space="preserve"> " بأنه ثمرة الوعي والحرية التي يجب على المجتمع الذي ينشد التقدم اتخاذها كجناحين لينطلق بهما إلى آفاق الكون للكشف عن أسراره بعين العالم وقريحة الفيلسوف </w:t>
      </w:r>
      <w:r w:rsidR="00C32DF0" w:rsidRPr="002B3CA4">
        <w:rPr>
          <w:rFonts w:hint="cs"/>
          <w:sz w:val="28"/>
          <w:szCs w:val="28"/>
          <w:rtl/>
          <w:lang w:bidi="ar-IQ"/>
        </w:rPr>
        <w:t>".</w:t>
      </w:r>
    </w:p>
    <w:p w:rsidR="00C32DF0" w:rsidRDefault="00C32DF0" w:rsidP="002B3CA4">
      <w:pPr>
        <w:jc w:val="both"/>
        <w:rPr>
          <w:rtl/>
          <w:lang w:bidi="ar-IQ"/>
        </w:rPr>
      </w:pPr>
    </w:p>
    <w:p w:rsidR="00C32DF0" w:rsidRPr="002B3CA4" w:rsidRDefault="00C32DF0" w:rsidP="002B3CA4">
      <w:pPr>
        <w:jc w:val="both"/>
        <w:rPr>
          <w:sz w:val="28"/>
          <w:szCs w:val="28"/>
          <w:lang w:bidi="ar-IQ"/>
        </w:rPr>
      </w:pPr>
      <w:r w:rsidRPr="002B3CA4">
        <w:rPr>
          <w:rFonts w:hint="cs"/>
          <w:b/>
          <w:bCs/>
          <w:sz w:val="28"/>
          <w:szCs w:val="28"/>
          <w:rtl/>
          <w:lang w:bidi="ar-IQ"/>
        </w:rPr>
        <w:t>ويوضح ما معناه طه عبد الرحمن في كتابه ( روح الحداثة ) :</w:t>
      </w:r>
      <w:r>
        <w:rPr>
          <w:rFonts w:hint="cs"/>
          <w:rtl/>
          <w:lang w:bidi="ar-IQ"/>
        </w:rPr>
        <w:t xml:space="preserve"> </w:t>
      </w:r>
      <w:r w:rsidRPr="002B3CA4">
        <w:rPr>
          <w:rFonts w:hint="cs"/>
          <w:sz w:val="28"/>
          <w:szCs w:val="28"/>
          <w:rtl/>
          <w:lang w:bidi="ar-IQ"/>
        </w:rPr>
        <w:t xml:space="preserve">" حالة رشد أتاحت له الخروج من حال التبعية للغير سواء أكانت تبعية </w:t>
      </w:r>
      <w:r w:rsidR="00663215" w:rsidRPr="002B3CA4">
        <w:rPr>
          <w:rFonts w:hint="cs"/>
          <w:sz w:val="28"/>
          <w:szCs w:val="28"/>
          <w:rtl/>
          <w:lang w:bidi="ar-IQ"/>
        </w:rPr>
        <w:t>إتباعية</w:t>
      </w:r>
      <w:r w:rsidRPr="002B3CA4">
        <w:rPr>
          <w:rFonts w:hint="cs"/>
          <w:sz w:val="28"/>
          <w:szCs w:val="28"/>
          <w:rtl/>
          <w:lang w:bidi="ar-IQ"/>
        </w:rPr>
        <w:t xml:space="preserve"> أو </w:t>
      </w:r>
      <w:r w:rsidR="00663215" w:rsidRPr="002B3CA4">
        <w:rPr>
          <w:rFonts w:hint="cs"/>
          <w:sz w:val="28"/>
          <w:szCs w:val="28"/>
          <w:rtl/>
          <w:lang w:bidi="ar-IQ"/>
        </w:rPr>
        <w:t>استنساخيه</w:t>
      </w:r>
      <w:r w:rsidRPr="002B3CA4">
        <w:rPr>
          <w:rFonts w:hint="cs"/>
          <w:sz w:val="28"/>
          <w:szCs w:val="28"/>
          <w:rtl/>
          <w:lang w:bidi="ar-IQ"/>
        </w:rPr>
        <w:t xml:space="preserve">  أو ألية " .</w:t>
      </w:r>
    </w:p>
    <w:sectPr w:rsidR="00C32DF0" w:rsidRPr="002B3CA4" w:rsidSect="003B0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24" w:rsidRDefault="00AD1224" w:rsidP="002B3CA4">
      <w:pPr>
        <w:spacing w:after="0" w:line="240" w:lineRule="auto"/>
      </w:pPr>
      <w:r>
        <w:separator/>
      </w:r>
    </w:p>
  </w:endnote>
  <w:endnote w:type="continuationSeparator" w:id="0">
    <w:p w:rsidR="00AD1224" w:rsidRDefault="00AD1224" w:rsidP="002B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A4" w:rsidRDefault="002B3C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44957884"/>
      <w:docPartObj>
        <w:docPartGallery w:val="Page Numbers (Bottom of Page)"/>
        <w:docPartUnique/>
      </w:docPartObj>
    </w:sdtPr>
    <w:sdtEndPr/>
    <w:sdtContent>
      <w:p w:rsidR="002B3CA4" w:rsidRDefault="002B3CA4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15" w:rsidRPr="0066321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B3CA4" w:rsidRDefault="002B3CA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A4" w:rsidRDefault="002B3C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24" w:rsidRDefault="00AD1224" w:rsidP="002B3CA4">
      <w:pPr>
        <w:spacing w:after="0" w:line="240" w:lineRule="auto"/>
      </w:pPr>
      <w:r>
        <w:separator/>
      </w:r>
    </w:p>
  </w:footnote>
  <w:footnote w:type="continuationSeparator" w:id="0">
    <w:p w:rsidR="00AD1224" w:rsidRDefault="00AD1224" w:rsidP="002B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A4" w:rsidRDefault="002B3C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A4" w:rsidRDefault="002B3C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A4" w:rsidRDefault="002B3C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0"/>
    <w:rsid w:val="00206684"/>
    <w:rsid w:val="002B3CA4"/>
    <w:rsid w:val="003072D0"/>
    <w:rsid w:val="003B09E2"/>
    <w:rsid w:val="00433ABD"/>
    <w:rsid w:val="004E105F"/>
    <w:rsid w:val="00561BDE"/>
    <w:rsid w:val="00652AEB"/>
    <w:rsid w:val="00663215"/>
    <w:rsid w:val="006B6116"/>
    <w:rsid w:val="008502B0"/>
    <w:rsid w:val="009F6435"/>
    <w:rsid w:val="00A25FD3"/>
    <w:rsid w:val="00A64DAD"/>
    <w:rsid w:val="00AD1224"/>
    <w:rsid w:val="00B828BC"/>
    <w:rsid w:val="00C32DF0"/>
    <w:rsid w:val="00D15F80"/>
    <w:rsid w:val="00D16EB2"/>
    <w:rsid w:val="00DD1794"/>
    <w:rsid w:val="00E12203"/>
    <w:rsid w:val="00E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3CA4"/>
  </w:style>
  <w:style w:type="paragraph" w:styleId="a4">
    <w:name w:val="footer"/>
    <w:basedOn w:val="a"/>
    <w:link w:val="Char0"/>
    <w:uiPriority w:val="99"/>
    <w:unhideWhenUsed/>
    <w:rsid w:val="002B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3CA4"/>
  </w:style>
  <w:style w:type="paragraph" w:styleId="a4">
    <w:name w:val="footer"/>
    <w:basedOn w:val="a"/>
    <w:link w:val="Char0"/>
    <w:uiPriority w:val="99"/>
    <w:unhideWhenUsed/>
    <w:rsid w:val="002B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2024-09-03T20:56:00Z</dcterms:created>
  <dcterms:modified xsi:type="dcterms:W3CDTF">2024-09-05T01:14:00Z</dcterms:modified>
</cp:coreProperties>
</file>