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05" w:rsidRPr="00A72CCB" w:rsidRDefault="00606905" w:rsidP="00606905">
      <w:pPr>
        <w:spacing w:line="276" w:lineRule="auto"/>
        <w:ind w:firstLine="720"/>
        <w:jc w:val="both"/>
        <w:rPr>
          <w:rFonts w:ascii="Simplified Arabic" w:hAnsi="Simplified Arabic"/>
          <w:rtl/>
          <w:lang w:bidi="ar-IQ"/>
        </w:rPr>
      </w:pPr>
      <w:r w:rsidRPr="00A72CCB">
        <w:rPr>
          <w:rFonts w:ascii="Simplified Arabic" w:hAnsi="Simplified Arabic"/>
          <w:rtl/>
          <w:lang w:bidi="ar-IQ"/>
        </w:rPr>
        <w:t>اما ريموند فير</w:t>
      </w:r>
      <w:r>
        <w:rPr>
          <w:rFonts w:ascii="Simplified Arabic" w:hAnsi="Simplified Arabic" w:hint="cs"/>
          <w:rtl/>
          <w:lang w:bidi="ar-IQ"/>
        </w:rPr>
        <w:t>ث</w:t>
      </w:r>
      <w:r w:rsidRPr="00A72CCB">
        <w:rPr>
          <w:rFonts w:ascii="Simplified Arabic" w:hAnsi="Simplified Arabic"/>
          <w:rtl/>
          <w:lang w:bidi="ar-IQ"/>
        </w:rPr>
        <w:t xml:space="preserve"> (</w:t>
      </w:r>
      <w:r w:rsidRPr="00F25AC8">
        <w:rPr>
          <w:rFonts w:asciiTheme="majorBidi" w:hAnsiTheme="majorBidi" w:cstheme="majorBidi"/>
          <w:b/>
          <w:bCs/>
          <w:i/>
          <w:iCs/>
          <w:lang w:bidi="ar-IQ"/>
        </w:rPr>
        <w:t>R. Firth</w:t>
      </w:r>
      <w:r w:rsidRPr="00A72CCB">
        <w:rPr>
          <w:rFonts w:ascii="Simplified Arabic" w:hAnsi="Simplified Arabic"/>
          <w:rtl/>
          <w:lang w:bidi="ar-IQ"/>
        </w:rPr>
        <w:t>) فقد عارض تفسيرات</w:t>
      </w:r>
      <w:r>
        <w:rPr>
          <w:rFonts w:ascii="Simplified Arabic" w:hAnsi="Simplified Arabic" w:hint="cs"/>
          <w:rtl/>
          <w:lang w:bidi="ar-IQ"/>
        </w:rPr>
        <w:t xml:space="preserve"> استاذه </w:t>
      </w:r>
      <w:r w:rsidRPr="00A72CCB">
        <w:rPr>
          <w:rFonts w:ascii="Simplified Arabic" w:hAnsi="Simplified Arabic"/>
          <w:rtl/>
          <w:lang w:bidi="ar-IQ"/>
        </w:rPr>
        <w:t xml:space="preserve"> </w:t>
      </w:r>
      <w:proofErr w:type="spellStart"/>
      <w:r w:rsidRPr="00A72CCB">
        <w:rPr>
          <w:rFonts w:ascii="Simplified Arabic" w:hAnsi="Simplified Arabic"/>
          <w:rtl/>
          <w:lang w:bidi="ar-IQ"/>
        </w:rPr>
        <w:t>رادكليف</w:t>
      </w:r>
      <w:proofErr w:type="spellEnd"/>
      <w:r w:rsidRPr="00A72CCB">
        <w:rPr>
          <w:rFonts w:ascii="Simplified Arabic" w:hAnsi="Simplified Arabic"/>
          <w:rtl/>
          <w:lang w:bidi="ar-IQ"/>
        </w:rPr>
        <w:t xml:space="preserve"> براون (</w:t>
      </w:r>
      <w:r w:rsidRPr="00F25AC8">
        <w:rPr>
          <w:rFonts w:asciiTheme="majorBidi" w:hAnsiTheme="majorBidi" w:cstheme="majorBidi"/>
          <w:b/>
          <w:bCs/>
          <w:i/>
          <w:iCs/>
          <w:lang w:bidi="ar-IQ"/>
        </w:rPr>
        <w:t>R. Brown</w:t>
      </w:r>
      <w:r w:rsidRPr="00A72CCB">
        <w:rPr>
          <w:rFonts w:ascii="Simplified Arabic" w:hAnsi="Simplified Arabic"/>
          <w:rtl/>
          <w:lang w:bidi="ar-IQ"/>
        </w:rPr>
        <w:t>) حيث عمد الى نقد الفهم الثابت (</w:t>
      </w:r>
      <w:proofErr w:type="spellStart"/>
      <w:r w:rsidRPr="00A72CCB">
        <w:rPr>
          <w:rFonts w:ascii="Simplified Arabic" w:hAnsi="Simplified Arabic"/>
          <w:rtl/>
          <w:lang w:bidi="ar-IQ"/>
        </w:rPr>
        <w:t>الاستاتيكي</w:t>
      </w:r>
      <w:proofErr w:type="spellEnd"/>
      <w:r w:rsidRPr="00A72CCB">
        <w:rPr>
          <w:rFonts w:ascii="Simplified Arabic" w:hAnsi="Simplified Arabic"/>
          <w:rtl/>
          <w:lang w:bidi="ar-IQ"/>
        </w:rPr>
        <w:t>) والسلبي للدور والتنظيم الاجتماعي, وهو الفهم الكامن في النظرية الوظيفية</w:t>
      </w:r>
      <w:r>
        <w:rPr>
          <w:rStyle w:val="a4"/>
          <w:rFonts w:ascii="Simplified Arabic" w:hAnsi="Simplified Arabic"/>
          <w:rtl/>
          <w:lang w:bidi="ar-IQ"/>
        </w:rPr>
        <w:footnoteReference w:customMarkFollows="1" w:id="1"/>
        <w:t>(3)</w:t>
      </w:r>
      <w:r>
        <w:rPr>
          <w:rFonts w:ascii="Simplified Arabic" w:hAnsi="Simplified Arabic" w:hint="cs"/>
          <w:rtl/>
          <w:lang w:bidi="ar-IQ"/>
        </w:rPr>
        <w:t>.</w:t>
      </w:r>
      <w:r w:rsidRPr="00A72CCB">
        <w:rPr>
          <w:rFonts w:ascii="Simplified Arabic" w:hAnsi="Simplified Arabic"/>
          <w:rtl/>
          <w:lang w:bidi="ar-IQ"/>
        </w:rPr>
        <w:t xml:space="preserve"> حيث يشير الى تناول (</w:t>
      </w:r>
      <w:proofErr w:type="spellStart"/>
      <w:r w:rsidRPr="00A72CCB">
        <w:rPr>
          <w:rFonts w:ascii="Simplified Arabic" w:hAnsi="Simplified Arabic"/>
          <w:rtl/>
          <w:lang w:bidi="ar-IQ"/>
        </w:rPr>
        <w:t>رادكليف</w:t>
      </w:r>
      <w:proofErr w:type="spellEnd"/>
      <w:r w:rsidRPr="00A72CCB">
        <w:rPr>
          <w:rFonts w:ascii="Simplified Arabic" w:hAnsi="Simplified Arabic"/>
          <w:rtl/>
          <w:lang w:bidi="ar-IQ"/>
        </w:rPr>
        <w:t xml:space="preserve"> براون) لمفهوم التنظيم كنسق للأدوار ينطوي على صلة قوية بين الوضع وبين ما يقوم به المرء من نشاط عند اشغال ذلك الوضع</w:t>
      </w:r>
      <w:r>
        <w:rPr>
          <w:rFonts w:ascii="Simplified Arabic" w:hAnsi="Simplified Arabic" w:hint="cs"/>
          <w:rtl/>
          <w:lang w:bidi="ar-IQ"/>
        </w:rPr>
        <w:t>,</w:t>
      </w:r>
      <w:r w:rsidRPr="00A72CCB">
        <w:rPr>
          <w:rFonts w:ascii="Simplified Arabic" w:hAnsi="Simplified Arabic"/>
          <w:rtl/>
          <w:lang w:bidi="ar-IQ"/>
        </w:rPr>
        <w:t xml:space="preserve"> مما يقلل فكرة التنظيم الى الحد الذي يجعلها وجهاً من وجوه البناء, وفي الحقيقة فان فكرة الدور عدا عن كونها مهمة في تعريف حدود النشاط الشخصي, فهي تتضمن ايضاً ان على الشخص ان يعمل بما يحدده له وضعه الاجتماعي, لذا فهي تتضمن وجهة نظر الية للفعل الاجتماعي. كما انه لا تتيح الفرصة للفعل ان يحدث كيفما أتفق</w:t>
      </w:r>
      <w:r>
        <w:rPr>
          <w:rFonts w:ascii="Simplified Arabic" w:hAnsi="Simplified Arabic" w:hint="cs"/>
          <w:rtl/>
          <w:lang w:bidi="ar-IQ"/>
        </w:rPr>
        <w:br/>
      </w:r>
      <w:r w:rsidRPr="00A72CCB">
        <w:rPr>
          <w:rFonts w:ascii="Simplified Arabic" w:hAnsi="Simplified Arabic"/>
          <w:rtl/>
          <w:lang w:bidi="ar-IQ"/>
        </w:rPr>
        <w:t>او التكيف للظروف شديدة التغيير, او مشكلات الحياة الاجتماعية</w:t>
      </w:r>
      <w:r>
        <w:rPr>
          <w:rStyle w:val="a4"/>
          <w:rFonts w:ascii="Simplified Arabic" w:hAnsi="Simplified Arabic"/>
          <w:rtl/>
          <w:lang w:bidi="ar-IQ"/>
        </w:rPr>
        <w:footnoteReference w:customMarkFollows="1" w:id="2"/>
        <w:t>(1)</w:t>
      </w:r>
      <w:r>
        <w:rPr>
          <w:rFonts w:ascii="Simplified Arabic" w:hAnsi="Simplified Arabic" w:hint="cs"/>
          <w:rtl/>
          <w:lang w:bidi="ar-IQ"/>
        </w:rPr>
        <w:t>.</w:t>
      </w:r>
    </w:p>
    <w:p w:rsidR="00606905" w:rsidRPr="00A72CCB" w:rsidRDefault="00606905" w:rsidP="00606905">
      <w:pPr>
        <w:spacing w:line="276" w:lineRule="auto"/>
        <w:ind w:firstLine="720"/>
        <w:jc w:val="both"/>
        <w:rPr>
          <w:rFonts w:ascii="Simplified Arabic" w:hAnsi="Simplified Arabic"/>
          <w:rtl/>
          <w:lang w:bidi="ar-IQ"/>
        </w:rPr>
      </w:pPr>
      <w:r w:rsidRPr="00A72CCB">
        <w:rPr>
          <w:rFonts w:ascii="Simplified Arabic" w:hAnsi="Simplified Arabic"/>
          <w:rtl/>
          <w:lang w:bidi="ar-IQ"/>
        </w:rPr>
        <w:t>لذلك كان ريموند فيرث (</w:t>
      </w:r>
      <w:r w:rsidRPr="00F25AC8">
        <w:rPr>
          <w:rFonts w:asciiTheme="majorBidi" w:hAnsiTheme="majorBidi" w:cstheme="majorBidi"/>
          <w:b/>
          <w:bCs/>
          <w:i/>
          <w:iCs/>
          <w:lang w:bidi="ar-IQ"/>
        </w:rPr>
        <w:t>R. Firth</w:t>
      </w:r>
      <w:r w:rsidRPr="00A72CCB">
        <w:rPr>
          <w:rFonts w:ascii="Simplified Arabic" w:hAnsi="Simplified Arabic"/>
          <w:rtl/>
          <w:lang w:bidi="ar-IQ"/>
        </w:rPr>
        <w:t>) رائداً لنظرية الفعل</w:t>
      </w:r>
      <w:r w:rsidRPr="00A72CCB">
        <w:rPr>
          <w:rStyle w:val="a4"/>
          <w:rFonts w:ascii="Simplified Arabic" w:hAnsi="Simplified Arabic"/>
          <w:rtl/>
          <w:lang w:bidi="ar-IQ"/>
        </w:rPr>
        <w:footnoteReference w:customMarkFollows="1" w:id="3"/>
        <w:sym w:font="Symbol" w:char="F02A"/>
      </w:r>
      <w:r w:rsidRPr="00A72CCB">
        <w:rPr>
          <w:rFonts w:ascii="Simplified Arabic" w:hAnsi="Simplified Arabic"/>
          <w:rtl/>
          <w:lang w:bidi="ar-IQ"/>
        </w:rPr>
        <w:t xml:space="preserve"> (</w:t>
      </w:r>
      <w:r w:rsidRPr="00F25AC8">
        <w:rPr>
          <w:rFonts w:asciiTheme="majorBidi" w:hAnsiTheme="majorBidi" w:cstheme="majorBidi"/>
          <w:b/>
          <w:bCs/>
          <w:i/>
          <w:iCs/>
          <w:lang w:bidi="ar-IQ"/>
        </w:rPr>
        <w:t>Action Theory</w:t>
      </w:r>
      <w:r w:rsidRPr="00A72CCB">
        <w:rPr>
          <w:rFonts w:ascii="Simplified Arabic" w:hAnsi="Simplified Arabic"/>
          <w:rtl/>
          <w:lang w:bidi="ar-IQ"/>
        </w:rPr>
        <w:t xml:space="preserve">) في الانثروبولوجيا, اذ حاول اكتشاف الجوانب الديناميكية للتفاعل الاجتماعي واهمية الاختيار والقرار </w:t>
      </w:r>
      <w:r w:rsidRPr="00A72CCB">
        <w:rPr>
          <w:rFonts w:ascii="Simplified Arabic" w:hAnsi="Simplified Arabic" w:hint="cs"/>
          <w:rtl/>
          <w:lang w:bidi="ar-IQ"/>
        </w:rPr>
        <w:t>والاستراتيجي</w:t>
      </w:r>
      <w:r w:rsidRPr="00A72CCB">
        <w:rPr>
          <w:rFonts w:ascii="Simplified Arabic" w:hAnsi="Simplified Arabic" w:hint="eastAsia"/>
          <w:rtl/>
          <w:lang w:bidi="ar-IQ"/>
        </w:rPr>
        <w:t>ة</w:t>
      </w:r>
      <w:r>
        <w:rPr>
          <w:rStyle w:val="a4"/>
          <w:rFonts w:ascii="Simplified Arabic" w:hAnsi="Simplified Arabic"/>
          <w:rtl/>
          <w:lang w:bidi="ar-IQ"/>
        </w:rPr>
        <w:footnoteReference w:customMarkFollows="1" w:id="4"/>
        <w:t>(2)</w:t>
      </w:r>
      <w:r>
        <w:rPr>
          <w:rFonts w:ascii="Simplified Arabic" w:hAnsi="Simplified Arabic" w:hint="cs"/>
          <w:rtl/>
          <w:lang w:bidi="ar-IQ"/>
        </w:rPr>
        <w:t>.</w:t>
      </w:r>
    </w:p>
    <w:p w:rsidR="00606905" w:rsidRPr="00A72CCB" w:rsidRDefault="00606905" w:rsidP="00606905">
      <w:pPr>
        <w:spacing w:line="276" w:lineRule="auto"/>
        <w:ind w:firstLine="720"/>
        <w:jc w:val="both"/>
        <w:rPr>
          <w:rFonts w:ascii="Simplified Arabic" w:hAnsi="Simplified Arabic"/>
          <w:rtl/>
          <w:lang w:bidi="ar-IQ"/>
        </w:rPr>
      </w:pPr>
      <w:r w:rsidRPr="00A72CCB">
        <w:rPr>
          <w:rFonts w:ascii="Simplified Arabic" w:hAnsi="Simplified Arabic"/>
          <w:rtl/>
          <w:lang w:bidi="ar-IQ"/>
        </w:rPr>
        <w:lastRenderedPageBreak/>
        <w:t>واستعمل فيرث (</w:t>
      </w:r>
      <w:r w:rsidRPr="00F25AC8">
        <w:rPr>
          <w:rFonts w:asciiTheme="majorBidi" w:hAnsiTheme="majorBidi" w:cstheme="majorBidi"/>
          <w:b/>
          <w:bCs/>
          <w:i/>
          <w:iCs/>
          <w:lang w:bidi="ar-IQ"/>
        </w:rPr>
        <w:t>Firth</w:t>
      </w:r>
      <w:r w:rsidRPr="00A72CCB">
        <w:rPr>
          <w:rFonts w:ascii="Simplified Arabic" w:hAnsi="Simplified Arabic"/>
          <w:rtl/>
          <w:lang w:bidi="ar-IQ"/>
        </w:rPr>
        <w:t>) فكرة (</w:t>
      </w:r>
      <w:proofErr w:type="spellStart"/>
      <w:r w:rsidRPr="00D272DB">
        <w:rPr>
          <w:rFonts w:ascii="Simplified Arabic" w:hAnsi="Simplified Arabic" w:cs="Sultan bold"/>
          <w:rtl/>
          <w:lang w:bidi="ar-IQ"/>
        </w:rPr>
        <w:t>ثيمة</w:t>
      </w:r>
      <w:proofErr w:type="spellEnd"/>
      <w:r w:rsidRPr="00A72CCB">
        <w:rPr>
          <w:rFonts w:ascii="Simplified Arabic" w:hAnsi="Simplified Arabic"/>
          <w:rtl/>
          <w:lang w:bidi="ar-IQ"/>
        </w:rPr>
        <w:t>)</w:t>
      </w:r>
      <w:r w:rsidRPr="00A72CCB">
        <w:rPr>
          <w:rStyle w:val="a4"/>
          <w:rFonts w:ascii="Simplified Arabic" w:hAnsi="Simplified Arabic"/>
          <w:rtl/>
          <w:lang w:bidi="ar-IQ"/>
        </w:rPr>
        <w:footnoteReference w:customMarkFollows="1" w:id="5"/>
        <w:sym w:font="Symbol" w:char="F02A"/>
      </w:r>
      <w:r w:rsidRPr="00A72CCB">
        <w:rPr>
          <w:rFonts w:ascii="Simplified Arabic" w:hAnsi="Simplified Arabic"/>
          <w:rtl/>
          <w:lang w:bidi="ar-IQ"/>
        </w:rPr>
        <w:t xml:space="preserve"> </w:t>
      </w:r>
      <w:proofErr w:type="spellStart"/>
      <w:r w:rsidRPr="00A72CCB">
        <w:rPr>
          <w:rFonts w:ascii="Simplified Arabic" w:hAnsi="Simplified Arabic"/>
          <w:rtl/>
          <w:lang w:bidi="ar-IQ"/>
        </w:rPr>
        <w:t>التظيم</w:t>
      </w:r>
      <w:proofErr w:type="spellEnd"/>
      <w:r w:rsidRPr="00A72CCB">
        <w:rPr>
          <w:rFonts w:ascii="Simplified Arabic" w:hAnsi="Simplified Arabic"/>
          <w:rtl/>
          <w:lang w:bidi="ar-IQ"/>
        </w:rPr>
        <w:t xml:space="preserve"> الاجتماعي لسنوات </w:t>
      </w:r>
      <w:r>
        <w:rPr>
          <w:rFonts w:ascii="Simplified Arabic" w:hAnsi="Simplified Arabic" w:hint="cs"/>
          <w:rtl/>
          <w:lang w:bidi="ar-IQ"/>
        </w:rPr>
        <w:br/>
      </w:r>
      <w:r w:rsidRPr="00A72CCB">
        <w:rPr>
          <w:rFonts w:ascii="Simplified Arabic" w:hAnsi="Simplified Arabic"/>
          <w:rtl/>
          <w:lang w:bidi="ar-IQ"/>
        </w:rPr>
        <w:t xml:space="preserve">عديدة كمفهوم محوري واساسي, ويؤكد على وجود تعارض بين ما يحدث </w:t>
      </w:r>
      <w:r>
        <w:rPr>
          <w:rFonts w:ascii="Simplified Arabic" w:hAnsi="Simplified Arabic" w:hint="cs"/>
          <w:rtl/>
          <w:lang w:bidi="ar-IQ"/>
        </w:rPr>
        <w:br/>
      </w:r>
      <w:r w:rsidRPr="00A72CCB">
        <w:rPr>
          <w:rFonts w:ascii="Simplified Arabic" w:hAnsi="Simplified Arabic"/>
          <w:rtl/>
          <w:lang w:bidi="ar-IQ"/>
        </w:rPr>
        <w:t>بصورة واقعية وملموسة وبين الدراسة المنهجية للقواعد التي تقودنا الى التوقع والترقب</w:t>
      </w:r>
      <w:r>
        <w:rPr>
          <w:rStyle w:val="a4"/>
          <w:rFonts w:ascii="Simplified Arabic" w:hAnsi="Simplified Arabic"/>
          <w:rtl/>
          <w:lang w:bidi="ar-IQ"/>
        </w:rPr>
        <w:footnoteReference w:customMarkFollows="1" w:id="6"/>
        <w:t>(</w:t>
      </w:r>
      <w:bookmarkStart w:id="0" w:name="_GoBack"/>
      <w:bookmarkEnd w:id="0"/>
    </w:p>
    <w:p w:rsidR="00174C82" w:rsidRDefault="00606905" w:rsidP="00606905">
      <w:r w:rsidRPr="00A72CCB">
        <w:rPr>
          <w:rFonts w:ascii="Simplified Arabic" w:hAnsi="Simplified Arabic"/>
          <w:rtl/>
          <w:lang w:bidi="ar-IQ"/>
        </w:rPr>
        <w:t>لقد ميز فيرث (</w:t>
      </w:r>
      <w:r w:rsidRPr="00A72CCB">
        <w:rPr>
          <w:rFonts w:ascii="Simplified Arabic" w:hAnsi="Simplified Arabic"/>
          <w:lang w:bidi="ar-IQ"/>
        </w:rPr>
        <w:t>Firth</w:t>
      </w:r>
      <w:r w:rsidRPr="00A72CCB">
        <w:rPr>
          <w:rFonts w:ascii="Simplified Arabic" w:hAnsi="Simplified Arabic"/>
          <w:rtl/>
          <w:lang w:bidi="ar-IQ"/>
        </w:rPr>
        <w:t>) بين ثلاث</w:t>
      </w:r>
      <w:r>
        <w:rPr>
          <w:rFonts w:ascii="Simplified Arabic" w:hAnsi="Simplified Arabic" w:hint="cs"/>
          <w:rtl/>
          <w:lang w:bidi="ar-IQ"/>
        </w:rPr>
        <w:t>ة</w:t>
      </w:r>
      <w:r w:rsidRPr="00A72CCB">
        <w:rPr>
          <w:rFonts w:ascii="Simplified Arabic" w:hAnsi="Simplified Arabic"/>
          <w:rtl/>
          <w:lang w:bidi="ar-IQ"/>
        </w:rPr>
        <w:t xml:space="preserve"> مستويات للتحليل هي : البناء الاجتماعي, والوظيفة, والتنظيم </w:t>
      </w:r>
      <w:proofErr w:type="spellStart"/>
      <w:r w:rsidRPr="00A72CCB">
        <w:rPr>
          <w:rFonts w:ascii="Simplified Arabic" w:hAnsi="Simplified Arabic"/>
          <w:rtl/>
          <w:lang w:bidi="ar-IQ"/>
        </w:rPr>
        <w:t>الاجنماعي</w:t>
      </w:r>
      <w:proofErr w:type="spellEnd"/>
      <w:r w:rsidRPr="00A72CCB">
        <w:rPr>
          <w:rFonts w:ascii="Simplified Arabic" w:hAnsi="Simplified Arabic"/>
          <w:rtl/>
          <w:lang w:bidi="ar-IQ"/>
        </w:rPr>
        <w:t xml:space="preserve">, فالبناء عبارة عن مجموعة من الأدوار والمبادئ الحاكمة للفعل الاجتماعي, والجانب الوظيفي فيه هو الاسلوب الذي </w:t>
      </w:r>
      <w:r>
        <w:rPr>
          <w:rFonts w:ascii="Simplified Arabic" w:hAnsi="Simplified Arabic" w:hint="cs"/>
          <w:rtl/>
          <w:lang w:bidi="ar-IQ"/>
        </w:rPr>
        <w:t>يخدم</w:t>
      </w:r>
      <w:r w:rsidRPr="00A72CCB">
        <w:rPr>
          <w:rFonts w:ascii="Simplified Arabic" w:hAnsi="Simplified Arabic"/>
          <w:rtl/>
          <w:lang w:bidi="ar-IQ"/>
        </w:rPr>
        <w:t xml:space="preserve"> العلاقات الاجتماعية الغايات الفردية او الجامعة, اما التنظيم الاجتماعي, فيشير على الجانب الاخر الى الجانب الدينامي من العلاقات الاجتماعية, وهو البعد </w:t>
      </w:r>
      <w:proofErr w:type="spellStart"/>
      <w:r w:rsidRPr="00A72CCB">
        <w:rPr>
          <w:rFonts w:ascii="Simplified Arabic" w:hAnsi="Simplified Arabic"/>
          <w:rtl/>
          <w:lang w:bidi="ar-IQ"/>
        </w:rPr>
        <w:t>الموقفي</w:t>
      </w:r>
      <w:proofErr w:type="spellEnd"/>
      <w:r w:rsidRPr="00A72CCB">
        <w:rPr>
          <w:rFonts w:ascii="Simplified Arabic" w:hAnsi="Simplified Arabic"/>
          <w:rtl/>
          <w:lang w:bidi="ar-IQ"/>
        </w:rPr>
        <w:t xml:space="preserve"> الخاص بصياغة القرار او البعد الاستراتيجي. ذلك هو الميدان الذي يتعين في راي فيرث ان</w:t>
      </w: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8A" w:rsidRDefault="000F2F8A" w:rsidP="00606905">
      <w:r>
        <w:separator/>
      </w:r>
    </w:p>
  </w:endnote>
  <w:endnote w:type="continuationSeparator" w:id="0">
    <w:p w:rsidR="000F2F8A" w:rsidRDefault="000F2F8A" w:rsidP="0060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Sultan 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8A" w:rsidRDefault="000F2F8A" w:rsidP="00606905">
      <w:r>
        <w:separator/>
      </w:r>
    </w:p>
  </w:footnote>
  <w:footnote w:type="continuationSeparator" w:id="0">
    <w:p w:rsidR="000F2F8A" w:rsidRDefault="000F2F8A" w:rsidP="00606905">
      <w:r>
        <w:continuationSeparator/>
      </w:r>
    </w:p>
  </w:footnote>
  <w:footnote w:id="1">
    <w:p w:rsidR="00606905" w:rsidRPr="00203E34" w:rsidRDefault="00606905" w:rsidP="00606905">
      <w:pPr>
        <w:pStyle w:val="a3"/>
        <w:rPr>
          <w:rFonts w:ascii="Simplified Arabic" w:hAnsi="Simplified Arabic"/>
          <w:sz w:val="28"/>
          <w:szCs w:val="28"/>
          <w:lang w:bidi="ar-IQ"/>
        </w:rPr>
      </w:pPr>
      <w:r w:rsidRPr="00203E34">
        <w:rPr>
          <w:rStyle w:val="a4"/>
          <w:sz w:val="28"/>
          <w:szCs w:val="28"/>
          <w:rtl/>
        </w:rPr>
        <w:t>(3)</w:t>
      </w:r>
      <w:r w:rsidRPr="00203E34">
        <w:rPr>
          <w:rFonts w:ascii="Simplified Arabic" w:hAnsi="Simplified Arabic"/>
          <w:sz w:val="28"/>
          <w:szCs w:val="28"/>
          <w:rtl/>
        </w:rPr>
        <w:t xml:space="preserve"> </w:t>
      </w:r>
      <w:r w:rsidRPr="00203E34">
        <w:rPr>
          <w:rFonts w:ascii="Simplified Arabic" w:hAnsi="Simplified Arabic"/>
          <w:sz w:val="28"/>
          <w:szCs w:val="28"/>
          <w:rtl/>
          <w:lang w:bidi="ar-IQ"/>
        </w:rPr>
        <w:t>سميث, شارلوت سيمور, موسوعة علم الانسان, ترجمة علياء شكري واخرون, المجلس الاعلى للثقافة المشروع القومي للترجمة, مصر, 1992, ص213.</w:t>
      </w:r>
    </w:p>
  </w:footnote>
  <w:footnote w:id="2">
    <w:p w:rsidR="00606905" w:rsidRPr="00D272DB" w:rsidRDefault="00606905" w:rsidP="00606905">
      <w:pPr>
        <w:pStyle w:val="a3"/>
        <w:bidi w:val="0"/>
        <w:rPr>
          <w:rFonts w:asciiTheme="majorBidi" w:hAnsiTheme="majorBidi" w:cstheme="majorBidi"/>
          <w:sz w:val="28"/>
          <w:szCs w:val="28"/>
          <w:lang w:bidi="ar-IQ"/>
        </w:rPr>
      </w:pPr>
      <w:r w:rsidRPr="00D272DB">
        <w:rPr>
          <w:rStyle w:val="a4"/>
          <w:sz w:val="28"/>
          <w:szCs w:val="28"/>
          <w:rtl/>
        </w:rPr>
        <w:t>(1)</w:t>
      </w:r>
      <w:r w:rsidRPr="00D272DB">
        <w:rPr>
          <w:rFonts w:asciiTheme="majorBidi" w:hAnsiTheme="majorBidi" w:cstheme="majorBidi"/>
          <w:sz w:val="28"/>
          <w:szCs w:val="28"/>
          <w:rtl/>
        </w:rPr>
        <w:t xml:space="preserve"> </w:t>
      </w:r>
      <w:r w:rsidRPr="00D272DB">
        <w:rPr>
          <w:rFonts w:asciiTheme="majorBidi" w:hAnsiTheme="majorBidi" w:cstheme="majorBidi"/>
          <w:sz w:val="28"/>
          <w:szCs w:val="28"/>
          <w:lang w:bidi="ar-IQ"/>
        </w:rPr>
        <w:t xml:space="preserve"> R. Firth, Essays on Social Organization and Values, Univ. of London, The </w:t>
      </w:r>
      <w:proofErr w:type="spellStart"/>
      <w:r w:rsidRPr="00D272DB">
        <w:rPr>
          <w:rFonts w:asciiTheme="majorBidi" w:hAnsiTheme="majorBidi" w:cstheme="majorBidi"/>
          <w:sz w:val="28"/>
          <w:szCs w:val="28"/>
          <w:lang w:bidi="ar-IQ"/>
        </w:rPr>
        <w:t>Athlone</w:t>
      </w:r>
      <w:proofErr w:type="spellEnd"/>
      <w:r w:rsidRPr="00D272DB">
        <w:rPr>
          <w:rFonts w:asciiTheme="majorBidi" w:hAnsiTheme="majorBidi" w:cstheme="majorBidi"/>
          <w:sz w:val="28"/>
          <w:szCs w:val="28"/>
          <w:lang w:bidi="ar-IQ"/>
        </w:rPr>
        <w:t xml:space="preserve"> Press,1964, P.45.</w:t>
      </w:r>
    </w:p>
  </w:footnote>
  <w:footnote w:id="3">
    <w:p w:rsidR="00606905" w:rsidRPr="00D272DB" w:rsidRDefault="00606905" w:rsidP="00606905">
      <w:pPr>
        <w:pStyle w:val="a3"/>
        <w:jc w:val="both"/>
        <w:rPr>
          <w:rFonts w:ascii="Simplified Arabic" w:hAnsi="Simplified Arabic"/>
          <w:sz w:val="28"/>
          <w:szCs w:val="28"/>
        </w:rPr>
      </w:pPr>
      <w:r w:rsidRPr="00D272DB">
        <w:rPr>
          <w:rStyle w:val="a4"/>
          <w:rFonts w:ascii="Simplified Arabic" w:hAnsi="Simplified Arabic"/>
          <w:sz w:val="28"/>
          <w:szCs w:val="28"/>
          <w:rtl/>
        </w:rPr>
        <w:sym w:font="Symbol" w:char="F02A"/>
      </w:r>
      <w:r w:rsidRPr="00D272DB">
        <w:rPr>
          <w:rFonts w:ascii="Simplified Arabic" w:hAnsi="Simplified Arabic" w:hint="cs"/>
          <w:sz w:val="28"/>
          <w:szCs w:val="28"/>
          <w:rtl/>
        </w:rPr>
        <w:t xml:space="preserve"> </w:t>
      </w:r>
      <w:r w:rsidRPr="00D272DB">
        <w:rPr>
          <w:rFonts w:ascii="Simplified Arabic" w:hAnsi="Simplified Arabic"/>
          <w:sz w:val="28"/>
          <w:szCs w:val="28"/>
          <w:rtl/>
        </w:rPr>
        <w:t xml:space="preserve">تهتم نظرية الفعل الاجتماعي بمفهوم العمل الاجتماعي وتفسره كنوع من سلوك الافراد المدفوع بالقيم, وذلك في محولتها وضع تفسير للسلوك الانساني, كذلك تؤكد هذه النظرية </w:t>
      </w:r>
      <w:r w:rsidRPr="00D272DB">
        <w:rPr>
          <w:rFonts w:ascii="Simplified Arabic" w:hAnsi="Simplified Arabic" w:hint="cs"/>
          <w:sz w:val="28"/>
          <w:szCs w:val="28"/>
          <w:rtl/>
        </w:rPr>
        <w:br/>
      </w:r>
      <w:r w:rsidRPr="00D272DB">
        <w:rPr>
          <w:rFonts w:ascii="Simplified Arabic" w:hAnsi="Simplified Arabic"/>
          <w:sz w:val="28"/>
          <w:szCs w:val="28"/>
          <w:rtl/>
        </w:rPr>
        <w:t>على المعنى الذاتي في موقف الفاعل</w:t>
      </w:r>
      <w:r w:rsidRPr="00D272DB">
        <w:rPr>
          <w:rFonts w:ascii="Simplified Arabic" w:hAnsi="Simplified Arabic" w:hint="cs"/>
          <w:sz w:val="28"/>
          <w:szCs w:val="28"/>
          <w:rtl/>
        </w:rPr>
        <w:t xml:space="preserve"> </w:t>
      </w:r>
      <w:r w:rsidRPr="00D272DB">
        <w:rPr>
          <w:rFonts w:ascii="Simplified Arabic" w:hAnsi="Simplified Arabic"/>
          <w:sz w:val="28"/>
          <w:szCs w:val="28"/>
          <w:rtl/>
        </w:rPr>
        <w:t xml:space="preserve">والاشارة الى دراسته في ضوء القيم الخاصة للفاعل, وتوقعاته لاستجابات </w:t>
      </w:r>
      <w:proofErr w:type="spellStart"/>
      <w:r w:rsidRPr="00D272DB">
        <w:rPr>
          <w:rFonts w:ascii="Simplified Arabic" w:hAnsi="Simplified Arabic"/>
          <w:sz w:val="28"/>
          <w:szCs w:val="28"/>
          <w:rtl/>
        </w:rPr>
        <w:t>الاخرين.وتركز</w:t>
      </w:r>
      <w:proofErr w:type="spellEnd"/>
      <w:r w:rsidRPr="00D272DB">
        <w:rPr>
          <w:rFonts w:ascii="Simplified Arabic" w:hAnsi="Simplified Arabic"/>
          <w:sz w:val="28"/>
          <w:szCs w:val="28"/>
          <w:rtl/>
        </w:rPr>
        <w:t xml:space="preserve"> نظرية الفعل على الفاعلين الافراد وعلى </w:t>
      </w:r>
      <w:proofErr w:type="spellStart"/>
      <w:r w:rsidRPr="00D272DB">
        <w:rPr>
          <w:rFonts w:ascii="Simplified Arabic" w:hAnsi="Simplified Arabic"/>
          <w:sz w:val="28"/>
          <w:szCs w:val="28"/>
          <w:rtl/>
        </w:rPr>
        <w:t>استرتيجياتهم</w:t>
      </w:r>
      <w:proofErr w:type="spellEnd"/>
      <w:r w:rsidRPr="00D272DB">
        <w:rPr>
          <w:rFonts w:ascii="Simplified Arabic" w:hAnsi="Simplified Arabic"/>
          <w:sz w:val="28"/>
          <w:szCs w:val="28"/>
          <w:rtl/>
        </w:rPr>
        <w:t xml:space="preserve"> داخل السياق الاجتماعي, وتحدد نظرية الفعل في الانثروبولوجيا وضع الفرد داخل التنظيم الاجتماعي من خلال تركيزها على العمليات. ينظر د. احمد زكي بدوي, معجم مصطلحات العلوم الاجتماعية, مكتبة لبنان, بيروت, </w:t>
      </w:r>
      <w:proofErr w:type="spellStart"/>
      <w:r w:rsidRPr="00D272DB">
        <w:rPr>
          <w:rFonts w:ascii="Simplified Arabic" w:hAnsi="Simplified Arabic"/>
          <w:sz w:val="28"/>
          <w:szCs w:val="28"/>
          <w:rtl/>
        </w:rPr>
        <w:t>ب.ت</w:t>
      </w:r>
      <w:proofErr w:type="spellEnd"/>
      <w:r w:rsidRPr="00D272DB">
        <w:rPr>
          <w:rFonts w:ascii="Simplified Arabic" w:hAnsi="Simplified Arabic"/>
          <w:sz w:val="28"/>
          <w:szCs w:val="28"/>
          <w:rtl/>
        </w:rPr>
        <w:t xml:space="preserve">, ص8. </w:t>
      </w:r>
    </w:p>
  </w:footnote>
  <w:footnote w:id="4">
    <w:p w:rsidR="00606905" w:rsidRPr="00D272DB" w:rsidRDefault="00606905" w:rsidP="00606905">
      <w:pPr>
        <w:pStyle w:val="a3"/>
        <w:jc w:val="both"/>
        <w:rPr>
          <w:rFonts w:ascii="Simplified Arabic" w:hAnsi="Simplified Arabic"/>
          <w:sz w:val="28"/>
          <w:szCs w:val="28"/>
          <w:lang w:bidi="ar-IQ"/>
        </w:rPr>
      </w:pPr>
      <w:r w:rsidRPr="00D272DB">
        <w:rPr>
          <w:rStyle w:val="a4"/>
          <w:sz w:val="28"/>
          <w:szCs w:val="28"/>
          <w:rtl/>
        </w:rPr>
        <w:t>(2)</w:t>
      </w:r>
      <w:r w:rsidRPr="00D272DB">
        <w:rPr>
          <w:rFonts w:ascii="Simplified Arabic" w:hAnsi="Simplified Arabic"/>
          <w:sz w:val="28"/>
          <w:szCs w:val="28"/>
          <w:rtl/>
        </w:rPr>
        <w:t xml:space="preserve"> </w:t>
      </w:r>
      <w:r w:rsidRPr="00D272DB">
        <w:rPr>
          <w:rFonts w:ascii="Simplified Arabic" w:hAnsi="Simplified Arabic"/>
          <w:sz w:val="28"/>
          <w:szCs w:val="28"/>
          <w:rtl/>
          <w:lang w:bidi="ar-IQ"/>
        </w:rPr>
        <w:t>سميث, شارلوت سيمور, مصدر سابق, ص213</w:t>
      </w:r>
    </w:p>
  </w:footnote>
  <w:footnote w:id="5">
    <w:p w:rsidR="00606905" w:rsidRPr="005424F1" w:rsidRDefault="00606905" w:rsidP="00606905">
      <w:pPr>
        <w:pStyle w:val="a3"/>
        <w:jc w:val="both"/>
        <w:rPr>
          <w:rFonts w:ascii="Simplified Arabic" w:hAnsi="Simplified Arabic"/>
          <w:sz w:val="28"/>
          <w:szCs w:val="28"/>
        </w:rPr>
      </w:pPr>
      <w:r w:rsidRPr="00D272DB">
        <w:rPr>
          <w:rStyle w:val="a4"/>
          <w:rFonts w:ascii="Simplified Arabic" w:hAnsi="Simplified Arabic"/>
          <w:b/>
          <w:bCs/>
          <w:sz w:val="28"/>
          <w:szCs w:val="28"/>
          <w:rtl/>
        </w:rPr>
        <w:sym w:font="Symbol" w:char="F02A"/>
      </w:r>
      <w:r w:rsidRPr="00D272DB">
        <w:rPr>
          <w:rFonts w:ascii="Simplified Arabic" w:hAnsi="Simplified Arabic"/>
          <w:sz w:val="28"/>
          <w:szCs w:val="28"/>
          <w:rtl/>
        </w:rPr>
        <w:t xml:space="preserve"> </w:t>
      </w:r>
      <w:proofErr w:type="spellStart"/>
      <w:r w:rsidRPr="00D272DB">
        <w:rPr>
          <w:rFonts w:asciiTheme="majorBidi" w:hAnsiTheme="majorBidi" w:cstheme="majorBidi"/>
          <w:b/>
          <w:bCs/>
          <w:sz w:val="28"/>
          <w:szCs w:val="28"/>
          <w:rtl/>
        </w:rPr>
        <w:t>الثيمة</w:t>
      </w:r>
      <w:proofErr w:type="spellEnd"/>
      <w:r w:rsidRPr="00D272DB">
        <w:rPr>
          <w:rFonts w:asciiTheme="majorBidi" w:hAnsiTheme="majorBidi" w:cstheme="majorBidi"/>
          <w:b/>
          <w:bCs/>
          <w:sz w:val="28"/>
          <w:szCs w:val="28"/>
          <w:rtl/>
        </w:rPr>
        <w:t xml:space="preserve"> </w:t>
      </w:r>
      <w:r w:rsidRPr="00D272DB">
        <w:rPr>
          <w:rFonts w:asciiTheme="majorBidi" w:hAnsiTheme="majorBidi" w:cstheme="majorBidi"/>
          <w:b/>
          <w:bCs/>
          <w:i/>
          <w:iCs/>
          <w:sz w:val="28"/>
          <w:szCs w:val="28"/>
        </w:rPr>
        <w:t>Themes</w:t>
      </w:r>
      <w:r w:rsidRPr="00D272DB">
        <w:rPr>
          <w:rFonts w:ascii="Simplified Arabic" w:hAnsi="Simplified Arabic"/>
          <w:sz w:val="28"/>
          <w:szCs w:val="28"/>
          <w:rtl/>
        </w:rPr>
        <w:t xml:space="preserve"> هي </w:t>
      </w:r>
      <w:proofErr w:type="spellStart"/>
      <w:r w:rsidRPr="00D272DB">
        <w:rPr>
          <w:rFonts w:ascii="Simplified Arabic" w:eastAsia="Calibri" w:hAnsi="Simplified Arabic"/>
          <w:sz w:val="28"/>
          <w:szCs w:val="28"/>
          <w:rtl/>
        </w:rPr>
        <w:t>توكيدات</w:t>
      </w:r>
      <w:proofErr w:type="spellEnd"/>
      <w:r w:rsidRPr="00D272DB">
        <w:rPr>
          <w:rFonts w:ascii="Simplified Arabic" w:eastAsia="Calibri" w:hAnsi="Simplified Arabic"/>
          <w:sz w:val="28"/>
          <w:szCs w:val="28"/>
          <w:rtl/>
        </w:rPr>
        <w:t xml:space="preserve"> دينامية تشكل طبيعة الواقع عند أعضاء الثقافة ففي كل ثقافة توجد مجموعة من القوى التي يؤكد أفراد الجماعة على أهميتها  وتسيطر تلك الموضوعات</w:t>
      </w:r>
      <w:r w:rsidRPr="005424F1">
        <w:rPr>
          <w:rFonts w:ascii="Simplified Arabic" w:eastAsia="Calibri" w:hAnsi="Simplified Arabic"/>
          <w:sz w:val="28"/>
          <w:szCs w:val="28"/>
          <w:rtl/>
        </w:rPr>
        <w:t xml:space="preserve"> على تفاعل الأفراد و سلوكهم أي على</w:t>
      </w:r>
      <w:r w:rsidRPr="005424F1">
        <w:rPr>
          <w:rFonts w:ascii="Simplified Arabic" w:eastAsia="Calibri" w:hAnsi="Simplified Arabic" w:hint="cs"/>
          <w:sz w:val="28"/>
          <w:szCs w:val="28"/>
          <w:rtl/>
        </w:rPr>
        <w:t xml:space="preserve"> </w:t>
      </w:r>
      <w:r w:rsidRPr="005424F1">
        <w:rPr>
          <w:rFonts w:ascii="Simplified Arabic" w:eastAsia="Calibri" w:hAnsi="Simplified Arabic"/>
          <w:sz w:val="28"/>
          <w:szCs w:val="28"/>
          <w:rtl/>
        </w:rPr>
        <w:t xml:space="preserve">كثير من الأنماط </w:t>
      </w:r>
      <w:proofErr w:type="spellStart"/>
      <w:r w:rsidRPr="005424F1">
        <w:rPr>
          <w:rFonts w:ascii="Simplified Arabic" w:eastAsia="Calibri" w:hAnsi="Simplified Arabic"/>
          <w:sz w:val="28"/>
          <w:szCs w:val="28"/>
          <w:rtl/>
        </w:rPr>
        <w:t>الثقافية</w:t>
      </w:r>
      <w:r w:rsidRPr="005424F1">
        <w:rPr>
          <w:rFonts w:ascii="Simplified Arabic" w:hAnsi="Simplified Arabic"/>
          <w:sz w:val="28"/>
          <w:szCs w:val="28"/>
          <w:rtl/>
        </w:rPr>
        <w:t>.ينظر</w:t>
      </w:r>
      <w:proofErr w:type="spellEnd"/>
      <w:r w:rsidRPr="005424F1">
        <w:rPr>
          <w:rFonts w:ascii="Simplified Arabic" w:hAnsi="Simplified Arabic"/>
          <w:sz w:val="28"/>
          <w:szCs w:val="28"/>
          <w:rtl/>
        </w:rPr>
        <w:t>, د. وصفي, عاطف, الثقافة والشخصية, دار المعارف بمصر, 1977, ص155.</w:t>
      </w:r>
    </w:p>
  </w:footnote>
  <w:footnote w:id="6">
    <w:p w:rsidR="00606905" w:rsidRPr="00D272DB" w:rsidRDefault="00606905" w:rsidP="00606905">
      <w:pPr>
        <w:pStyle w:val="a3"/>
        <w:bidi w:val="0"/>
        <w:rPr>
          <w:rFonts w:asciiTheme="majorBidi" w:hAnsiTheme="majorBidi" w:cstheme="majorBidi"/>
          <w:sz w:val="28"/>
          <w:szCs w:val="28"/>
          <w:rtl/>
          <w:lang w:bidi="ar-IQ"/>
        </w:rPr>
      </w:pPr>
      <w:r w:rsidRPr="00D272DB">
        <w:rPr>
          <w:rStyle w:val="a4"/>
          <w:sz w:val="28"/>
          <w:szCs w:val="28"/>
          <w:rtl/>
        </w:rPr>
        <w:t>(1)</w:t>
      </w:r>
      <w:r w:rsidRPr="00D272DB">
        <w:rPr>
          <w:rFonts w:asciiTheme="majorBidi" w:hAnsiTheme="majorBidi" w:cstheme="majorBidi"/>
          <w:sz w:val="28"/>
          <w:szCs w:val="28"/>
          <w:rtl/>
          <w:lang w:bidi="ar-IQ"/>
        </w:rPr>
        <w:t xml:space="preserve"> </w:t>
      </w:r>
      <w:r w:rsidRPr="00D272DB">
        <w:rPr>
          <w:rFonts w:asciiTheme="majorBidi" w:hAnsiTheme="majorBidi" w:cstheme="majorBidi" w:hint="cs"/>
          <w:sz w:val="28"/>
          <w:szCs w:val="28"/>
          <w:rtl/>
          <w:lang w:bidi="ar-IQ"/>
        </w:rPr>
        <w:t xml:space="preserve"> </w:t>
      </w:r>
      <w:r w:rsidRPr="00D272DB">
        <w:rPr>
          <w:rFonts w:asciiTheme="majorBidi" w:hAnsiTheme="majorBidi" w:cstheme="majorBidi"/>
          <w:sz w:val="28"/>
          <w:szCs w:val="28"/>
          <w:lang w:bidi="ar-IQ"/>
        </w:rPr>
        <w:t xml:space="preserve"> William A. </w:t>
      </w:r>
      <w:proofErr w:type="spellStart"/>
      <w:r w:rsidRPr="00D272DB">
        <w:rPr>
          <w:rFonts w:asciiTheme="majorBidi" w:hAnsiTheme="majorBidi" w:cstheme="majorBidi"/>
          <w:sz w:val="28"/>
          <w:szCs w:val="28"/>
          <w:lang w:bidi="ar-IQ"/>
        </w:rPr>
        <w:t>Darity</w:t>
      </w:r>
      <w:proofErr w:type="spellEnd"/>
      <w:r w:rsidRPr="00D272DB">
        <w:rPr>
          <w:rFonts w:asciiTheme="majorBidi" w:hAnsiTheme="majorBidi" w:cstheme="majorBidi"/>
          <w:sz w:val="28"/>
          <w:szCs w:val="28"/>
          <w:lang w:bidi="ar-IQ"/>
        </w:rPr>
        <w:t xml:space="preserve"> </w:t>
      </w:r>
      <w:proofErr w:type="spellStart"/>
      <w:r w:rsidRPr="00D272DB">
        <w:rPr>
          <w:rFonts w:asciiTheme="majorBidi" w:hAnsiTheme="majorBidi" w:cstheme="majorBidi"/>
          <w:sz w:val="28"/>
          <w:szCs w:val="28"/>
          <w:lang w:bidi="ar-IQ"/>
        </w:rPr>
        <w:t>Jr</w:t>
      </w:r>
      <w:proofErr w:type="spellEnd"/>
      <w:r w:rsidRPr="00D272DB">
        <w:rPr>
          <w:rFonts w:asciiTheme="majorBidi" w:hAnsiTheme="majorBidi" w:cstheme="majorBidi"/>
          <w:sz w:val="28"/>
          <w:szCs w:val="28"/>
          <w:lang w:bidi="ar-IQ"/>
        </w:rPr>
        <w:t xml:space="preserve">, International Encyclopedia of Social Sciences, New York, Vol. 14, 1972, P.484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05"/>
    <w:rsid w:val="000F2F8A"/>
    <w:rsid w:val="00174C82"/>
    <w:rsid w:val="005A40EB"/>
    <w:rsid w:val="0060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05"/>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06905"/>
    <w:rPr>
      <w:sz w:val="20"/>
      <w:szCs w:val="20"/>
    </w:rPr>
  </w:style>
  <w:style w:type="character" w:customStyle="1" w:styleId="Char">
    <w:name w:val="نص حاشية سفلية Char"/>
    <w:basedOn w:val="a0"/>
    <w:link w:val="a3"/>
    <w:uiPriority w:val="99"/>
    <w:rsid w:val="00606905"/>
    <w:rPr>
      <w:rFonts w:ascii="Times New Roman" w:eastAsia="Times New Roman" w:hAnsi="Times New Roman" w:cs="Simplified Arabic"/>
      <w:sz w:val="20"/>
      <w:szCs w:val="20"/>
    </w:rPr>
  </w:style>
  <w:style w:type="character" w:styleId="a4">
    <w:name w:val="footnote reference"/>
    <w:basedOn w:val="a0"/>
    <w:uiPriority w:val="99"/>
    <w:semiHidden/>
    <w:unhideWhenUsed/>
    <w:rsid w:val="006069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05"/>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06905"/>
    <w:rPr>
      <w:sz w:val="20"/>
      <w:szCs w:val="20"/>
    </w:rPr>
  </w:style>
  <w:style w:type="character" w:customStyle="1" w:styleId="Char">
    <w:name w:val="نص حاشية سفلية Char"/>
    <w:basedOn w:val="a0"/>
    <w:link w:val="a3"/>
    <w:uiPriority w:val="99"/>
    <w:rsid w:val="00606905"/>
    <w:rPr>
      <w:rFonts w:ascii="Times New Roman" w:eastAsia="Times New Roman" w:hAnsi="Times New Roman" w:cs="Simplified Arabic"/>
      <w:sz w:val="20"/>
      <w:szCs w:val="20"/>
    </w:rPr>
  </w:style>
  <w:style w:type="character" w:styleId="a4">
    <w:name w:val="footnote reference"/>
    <w:basedOn w:val="a0"/>
    <w:uiPriority w:val="99"/>
    <w:semiHidden/>
    <w:unhideWhenUsed/>
    <w:rsid w:val="00606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Lines>10</Lines>
  <Paragraphs>3</Paragraphs>
  <ScaleCrop>false</ScaleCrop>
  <Company>SACC</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2025-12-20T10:31:00Z</dcterms:created>
  <dcterms:modified xsi:type="dcterms:W3CDTF">2025-12-20T10:31:00Z</dcterms:modified>
</cp:coreProperties>
</file>