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37" w:rsidRPr="00A72CCB" w:rsidRDefault="005D5937" w:rsidP="005D5937">
      <w:pPr>
        <w:spacing w:line="276" w:lineRule="auto"/>
        <w:jc w:val="both"/>
        <w:rPr>
          <w:rFonts w:ascii="Simplified Arabic" w:hAnsi="Simplified Arabic"/>
          <w:rtl/>
          <w:lang w:bidi="ar-IQ"/>
        </w:rPr>
      </w:pPr>
      <w:r w:rsidRPr="00A72CCB">
        <w:rPr>
          <w:rFonts w:ascii="Simplified Arabic" w:hAnsi="Simplified Arabic"/>
          <w:rtl/>
          <w:lang w:bidi="ar-IQ"/>
        </w:rPr>
        <w:t xml:space="preserve">وقد يكون من العبارتين التاليتين التي </w:t>
      </w:r>
      <w:proofErr w:type="spellStart"/>
      <w:r w:rsidRPr="00A72CCB">
        <w:rPr>
          <w:rFonts w:ascii="Simplified Arabic" w:hAnsi="Simplified Arabic"/>
          <w:rtl/>
          <w:lang w:bidi="ar-IQ"/>
        </w:rPr>
        <w:t>نقتبسهما</w:t>
      </w:r>
      <w:proofErr w:type="spellEnd"/>
      <w:r w:rsidRPr="00A72CCB">
        <w:rPr>
          <w:rFonts w:ascii="Simplified Arabic" w:hAnsi="Simplified Arabic"/>
          <w:rtl/>
          <w:lang w:bidi="ar-IQ"/>
        </w:rPr>
        <w:t xml:space="preserve"> من فيرث ما يوضح مناقشتنا لهذا المفهوم الاساسي:</w:t>
      </w:r>
    </w:p>
    <w:p w:rsidR="005D5937" w:rsidRPr="00A72CCB" w:rsidRDefault="005D5937" w:rsidP="005D5937">
      <w:pPr>
        <w:pStyle w:val="a5"/>
        <w:numPr>
          <w:ilvl w:val="0"/>
          <w:numId w:val="1"/>
        </w:numPr>
        <w:ind w:left="515" w:hanging="567"/>
        <w:jc w:val="both"/>
        <w:rPr>
          <w:rFonts w:ascii="Simplified Arabic" w:hAnsi="Simplified Arabic" w:cs="Simplified Arabic"/>
          <w:sz w:val="32"/>
          <w:szCs w:val="32"/>
          <w:lang w:bidi="ar-IQ"/>
        </w:rPr>
      </w:pPr>
      <w:r w:rsidRPr="00A72CCB">
        <w:rPr>
          <w:rFonts w:ascii="Simplified Arabic" w:hAnsi="Simplified Arabic" w:cs="Simplified Arabic"/>
          <w:sz w:val="32"/>
          <w:szCs w:val="32"/>
          <w:rtl/>
          <w:lang w:bidi="ar-IQ"/>
        </w:rPr>
        <w:t>يجب ان يولي الاطار النظري لتحليل التغير الاجتماعي اهتماماً بصفة عامة لما يحدث للبنى الاجتماعية... وحتى يكون هذا التحليل ديناميكياً حقاً يجب ان يأخذ في الحسبان فعل الفرد</w:t>
      </w:r>
      <w:r>
        <w:rPr>
          <w:rStyle w:val="a4"/>
          <w:rFonts w:ascii="Simplified Arabic" w:hAnsi="Simplified Arabic" w:cs="Simplified Arabic"/>
          <w:sz w:val="32"/>
          <w:szCs w:val="32"/>
          <w:rtl/>
          <w:lang w:bidi="ar-IQ"/>
        </w:rPr>
        <w:footnoteReference w:customMarkFollows="1" w:id="1"/>
        <w:t>(1)</w:t>
      </w:r>
    </w:p>
    <w:p w:rsidR="005D5937" w:rsidRPr="00A72CCB" w:rsidRDefault="005D5937" w:rsidP="005D5937">
      <w:pPr>
        <w:pStyle w:val="a5"/>
        <w:numPr>
          <w:ilvl w:val="0"/>
          <w:numId w:val="1"/>
        </w:numPr>
        <w:ind w:left="515" w:hanging="567"/>
        <w:jc w:val="both"/>
        <w:rPr>
          <w:rFonts w:ascii="Simplified Arabic" w:hAnsi="Simplified Arabic" w:cs="Simplified Arabic"/>
          <w:sz w:val="32"/>
          <w:szCs w:val="32"/>
          <w:lang w:bidi="ar-IQ"/>
        </w:rPr>
      </w:pPr>
      <w:r w:rsidRPr="00A72CC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A72CCB">
        <w:rPr>
          <w:rFonts w:ascii="Simplified Arabic" w:hAnsi="Simplified Arabic" w:cs="Simplified Arabic"/>
          <w:sz w:val="32"/>
          <w:szCs w:val="32"/>
          <w:rtl/>
          <w:lang w:bidi="ar-IQ"/>
        </w:rPr>
        <w:t xml:space="preserve">وبعيداً عن </w:t>
      </w:r>
      <w:r>
        <w:rPr>
          <w:rFonts w:ascii="Simplified Arabic" w:hAnsi="Simplified Arabic" w:cs="Simplified Arabic" w:hint="cs"/>
          <w:sz w:val="32"/>
          <w:szCs w:val="32"/>
          <w:rtl/>
          <w:lang w:bidi="ar-IQ"/>
        </w:rPr>
        <w:t>عد</w:t>
      </w:r>
      <w:r w:rsidRPr="00A72CCB">
        <w:rPr>
          <w:rFonts w:ascii="Simplified Arabic" w:hAnsi="Simplified Arabic" w:cs="Simplified Arabic"/>
          <w:sz w:val="32"/>
          <w:szCs w:val="32"/>
          <w:rtl/>
          <w:lang w:bidi="ar-IQ"/>
        </w:rPr>
        <w:t xml:space="preserve"> الدين في </w:t>
      </w:r>
      <w:r>
        <w:rPr>
          <w:rFonts w:ascii="Simplified Arabic" w:hAnsi="Simplified Arabic" w:cs="Simplified Arabic" w:hint="cs"/>
          <w:sz w:val="32"/>
          <w:szCs w:val="32"/>
          <w:rtl/>
          <w:lang w:bidi="ar-IQ"/>
        </w:rPr>
        <w:t xml:space="preserve">جزر </w:t>
      </w:r>
      <w:proofErr w:type="spellStart"/>
      <w:r w:rsidRPr="00A72CCB">
        <w:rPr>
          <w:rFonts w:ascii="Simplified Arabic" w:hAnsi="Simplified Arabic" w:cs="Simplified Arabic"/>
          <w:sz w:val="32"/>
          <w:szCs w:val="32"/>
          <w:rtl/>
          <w:lang w:bidi="ar-IQ"/>
        </w:rPr>
        <w:t>تيكوبيا</w:t>
      </w:r>
      <w:proofErr w:type="spellEnd"/>
      <w:r w:rsidRPr="00A72CC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بانه </w:t>
      </w:r>
      <w:r w:rsidRPr="00A72CCB">
        <w:rPr>
          <w:rFonts w:ascii="Simplified Arabic" w:hAnsi="Simplified Arabic" w:cs="Simplified Arabic"/>
          <w:sz w:val="32"/>
          <w:szCs w:val="32"/>
          <w:rtl/>
          <w:lang w:bidi="ar-IQ"/>
        </w:rPr>
        <w:t>يعكس ويساند البناء الاجتماعي فانه يقدم في بعض جوانبه امكانات للهروب من المجتمع الى اوهام الفرد التي لن تلبث ان يتم الاعتراف بها وربطها بالوظائف الاجتماعية</w:t>
      </w:r>
      <w:r>
        <w:rPr>
          <w:rStyle w:val="a4"/>
          <w:rFonts w:ascii="Simplified Arabic" w:hAnsi="Simplified Arabic" w:cs="Simplified Arabic"/>
          <w:sz w:val="32"/>
          <w:szCs w:val="32"/>
          <w:rtl/>
          <w:lang w:bidi="ar-IQ"/>
        </w:rPr>
        <w:footnoteReference w:customMarkFollows="1" w:id="2"/>
        <w:t>(2)</w:t>
      </w:r>
      <w:r>
        <w:rPr>
          <w:rFonts w:ascii="Simplified Arabic" w:hAnsi="Simplified Arabic" w:cs="Simplified Arabic" w:hint="cs"/>
          <w:sz w:val="32"/>
          <w:szCs w:val="32"/>
          <w:rtl/>
          <w:lang w:bidi="ar-IQ"/>
        </w:rPr>
        <w:t>.</w:t>
      </w:r>
    </w:p>
    <w:p w:rsidR="005D5937" w:rsidRPr="00A72CCB" w:rsidRDefault="005D5937" w:rsidP="005D5937">
      <w:pPr>
        <w:spacing w:line="276" w:lineRule="auto"/>
        <w:ind w:left="-52" w:firstLine="567"/>
        <w:jc w:val="both"/>
        <w:rPr>
          <w:rFonts w:ascii="Simplified Arabic" w:hAnsi="Simplified Arabic"/>
          <w:rtl/>
          <w:lang w:bidi="ar-IQ"/>
        </w:rPr>
      </w:pPr>
      <w:r w:rsidRPr="00A72CCB">
        <w:rPr>
          <w:rFonts w:ascii="Simplified Arabic" w:hAnsi="Simplified Arabic"/>
          <w:rtl/>
          <w:lang w:bidi="ar-IQ"/>
        </w:rPr>
        <w:t xml:space="preserve">وبما ان الدراسة تركز على التنظيم الاجتماعي في عمليات البيع </w:t>
      </w:r>
      <w:proofErr w:type="spellStart"/>
      <w:r w:rsidRPr="00A72CCB">
        <w:rPr>
          <w:rFonts w:ascii="Simplified Arabic" w:hAnsi="Simplified Arabic"/>
          <w:rtl/>
          <w:lang w:bidi="ar-IQ"/>
        </w:rPr>
        <w:t>بالاجل</w:t>
      </w:r>
      <w:proofErr w:type="spellEnd"/>
      <w:r w:rsidRPr="00A72CCB">
        <w:rPr>
          <w:rFonts w:ascii="Simplified Arabic" w:hAnsi="Simplified Arabic"/>
          <w:rtl/>
          <w:lang w:bidi="ar-IQ"/>
        </w:rPr>
        <w:t>, لذلك نرى ان الافراد والجماعات صناع قرار يتسمون بالرشد ويواجهون على الدوام كثيراً من الاختيارات والبدائل في سعيهم الى تحقيق غاياتهم او أغراضهم, لذلك كثيرا ما يدخلون في منافسات مع غيرهم من الأفراد والجماعات.</w:t>
      </w:r>
    </w:p>
    <w:p w:rsidR="005D5937" w:rsidRPr="00A72CCB" w:rsidRDefault="005D5937" w:rsidP="005D5937">
      <w:pPr>
        <w:spacing w:line="276" w:lineRule="auto"/>
        <w:ind w:left="-52"/>
        <w:jc w:val="both"/>
        <w:rPr>
          <w:rFonts w:ascii="Simplified Arabic" w:hAnsi="Simplified Arabic"/>
          <w:rtl/>
          <w:lang w:bidi="ar-IQ"/>
        </w:rPr>
      </w:pPr>
      <w:r w:rsidRPr="00A72CCB">
        <w:rPr>
          <w:rFonts w:ascii="Simplified Arabic" w:hAnsi="Simplified Arabic"/>
          <w:rtl/>
          <w:lang w:bidi="ar-IQ"/>
        </w:rPr>
        <w:t>ومن هنا نرى ان فكرة التنظيم الاجتماعي هي الطريقة التي يتم بواسطتها حصول الناس على الأشياء عن طريق الفعل المخطط والمنظم, فالنشاط الذي يقومون به ليس عشوائياً وانما يجري في ضوء عملية اتخاذ القرار وممارسة الاختيار المتمثلة في العلاقات الاجتماعية الحقيقية.</w:t>
      </w:r>
    </w:p>
    <w:p w:rsidR="005D5937" w:rsidRDefault="005D5937" w:rsidP="005D5937">
      <w:pPr>
        <w:spacing w:line="276" w:lineRule="auto"/>
        <w:jc w:val="both"/>
        <w:rPr>
          <w:rFonts w:ascii="Simplified Arabic" w:hAnsi="Simplified Arabic" w:cs="PT Bold Heading"/>
          <w:rtl/>
          <w:lang w:bidi="ar-IQ"/>
        </w:rPr>
      </w:pPr>
    </w:p>
    <w:p w:rsidR="005D5937" w:rsidRDefault="005D5937" w:rsidP="005D5937">
      <w:pPr>
        <w:spacing w:line="276" w:lineRule="auto"/>
        <w:jc w:val="both"/>
        <w:rPr>
          <w:rFonts w:ascii="Simplified Arabic" w:hAnsi="Simplified Arabic" w:cs="PT Bold Heading"/>
          <w:rtl/>
          <w:lang w:bidi="ar-IQ"/>
        </w:rPr>
      </w:pPr>
      <w:bookmarkStart w:id="0" w:name="_GoBack"/>
      <w:bookmarkEnd w:id="0"/>
    </w:p>
    <w:sectPr w:rsidR="005D5937"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E88" w:rsidRDefault="00716E88" w:rsidP="005D5937">
      <w:r>
        <w:separator/>
      </w:r>
    </w:p>
  </w:endnote>
  <w:endnote w:type="continuationSeparator" w:id="0">
    <w:p w:rsidR="00716E88" w:rsidRDefault="00716E88" w:rsidP="005D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E88" w:rsidRDefault="00716E88" w:rsidP="005D5937">
      <w:r>
        <w:separator/>
      </w:r>
    </w:p>
  </w:footnote>
  <w:footnote w:type="continuationSeparator" w:id="0">
    <w:p w:rsidR="00716E88" w:rsidRDefault="00716E88" w:rsidP="005D5937">
      <w:r>
        <w:continuationSeparator/>
      </w:r>
    </w:p>
  </w:footnote>
  <w:footnote w:id="1">
    <w:p w:rsidR="005D5937" w:rsidRPr="00036C68" w:rsidRDefault="005D5937" w:rsidP="005D5937">
      <w:pPr>
        <w:pStyle w:val="a3"/>
        <w:rPr>
          <w:rFonts w:ascii="Simplified Arabic" w:hAnsi="Simplified Arabic"/>
          <w:sz w:val="28"/>
          <w:szCs w:val="28"/>
          <w:lang w:bidi="ar-IQ"/>
        </w:rPr>
      </w:pPr>
      <w:r w:rsidRPr="00036C68">
        <w:rPr>
          <w:rStyle w:val="a4"/>
          <w:sz w:val="28"/>
          <w:szCs w:val="28"/>
          <w:rtl/>
        </w:rPr>
        <w:t>(1)</w:t>
      </w:r>
      <w:r w:rsidRPr="00036C68">
        <w:rPr>
          <w:rFonts w:ascii="Simplified Arabic" w:hAnsi="Simplified Arabic"/>
          <w:sz w:val="28"/>
          <w:szCs w:val="28"/>
          <w:rtl/>
        </w:rPr>
        <w:t xml:space="preserve"> </w:t>
      </w:r>
      <w:r w:rsidRPr="00036C68">
        <w:rPr>
          <w:rFonts w:ascii="Simplified Arabic" w:hAnsi="Simplified Arabic"/>
          <w:sz w:val="28"/>
          <w:szCs w:val="28"/>
          <w:rtl/>
          <w:lang w:bidi="ar-IQ"/>
        </w:rPr>
        <w:t xml:space="preserve">يتيم, عبد الله عبد الرحمن, دفاتر </w:t>
      </w:r>
      <w:proofErr w:type="spellStart"/>
      <w:r w:rsidRPr="00036C68">
        <w:rPr>
          <w:rFonts w:ascii="Simplified Arabic" w:hAnsi="Simplified Arabic"/>
          <w:sz w:val="28"/>
          <w:szCs w:val="28"/>
          <w:rtl/>
          <w:lang w:bidi="ar-IQ"/>
        </w:rPr>
        <w:t>انثروبولوجية</w:t>
      </w:r>
      <w:proofErr w:type="spellEnd"/>
      <w:r w:rsidRPr="00036C68">
        <w:rPr>
          <w:rFonts w:ascii="Simplified Arabic" w:hAnsi="Simplified Arabic"/>
          <w:sz w:val="28"/>
          <w:szCs w:val="28"/>
          <w:rtl/>
          <w:lang w:bidi="ar-IQ"/>
        </w:rPr>
        <w:t xml:space="preserve"> سير وحوارات, المؤسسة العربية للدراسات والنشر, بيروت, ط2, 2004, ص62.</w:t>
      </w:r>
    </w:p>
  </w:footnote>
  <w:footnote w:id="2">
    <w:p w:rsidR="005D5937" w:rsidRPr="00036C68" w:rsidRDefault="005D5937" w:rsidP="005D5937">
      <w:pPr>
        <w:pStyle w:val="a3"/>
        <w:rPr>
          <w:rFonts w:ascii="Simplified Arabic" w:hAnsi="Simplified Arabic"/>
          <w:sz w:val="28"/>
          <w:szCs w:val="28"/>
          <w:lang w:bidi="ar-IQ"/>
        </w:rPr>
      </w:pPr>
      <w:r w:rsidRPr="00036C68">
        <w:rPr>
          <w:rStyle w:val="a4"/>
          <w:sz w:val="28"/>
          <w:szCs w:val="28"/>
          <w:rtl/>
        </w:rPr>
        <w:t>(2)</w:t>
      </w:r>
      <w:r w:rsidRPr="00036C68">
        <w:rPr>
          <w:rFonts w:ascii="Simplified Arabic" w:hAnsi="Simplified Arabic"/>
          <w:sz w:val="28"/>
          <w:szCs w:val="28"/>
          <w:rtl/>
        </w:rPr>
        <w:t xml:space="preserve"> </w:t>
      </w:r>
      <w:r w:rsidRPr="00036C68">
        <w:rPr>
          <w:rFonts w:ascii="Simplified Arabic" w:hAnsi="Simplified Arabic"/>
          <w:sz w:val="28"/>
          <w:szCs w:val="28"/>
          <w:rtl/>
          <w:lang w:bidi="ar-IQ"/>
        </w:rPr>
        <w:t xml:space="preserve">سيلز, ديفيد إل, الموسوعة الدولية للعلوم الاجتماعية, ج1, ترجمة د. احمد ابو زيد واخرون, المركز القومي للترجمة, القاهرة, ط1,  2010, ص163.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E6A46"/>
    <w:multiLevelType w:val="hybridMultilevel"/>
    <w:tmpl w:val="7E7CCE7E"/>
    <w:lvl w:ilvl="0" w:tplc="E3B2C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37"/>
    <w:rsid w:val="00174C82"/>
    <w:rsid w:val="005A40EB"/>
    <w:rsid w:val="005D5937"/>
    <w:rsid w:val="00716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937"/>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D5937"/>
    <w:rPr>
      <w:sz w:val="20"/>
      <w:szCs w:val="20"/>
    </w:rPr>
  </w:style>
  <w:style w:type="character" w:customStyle="1" w:styleId="Char">
    <w:name w:val="نص حاشية سفلية Char"/>
    <w:basedOn w:val="a0"/>
    <w:link w:val="a3"/>
    <w:uiPriority w:val="99"/>
    <w:rsid w:val="005D5937"/>
    <w:rPr>
      <w:rFonts w:ascii="Times New Roman" w:eastAsia="Times New Roman" w:hAnsi="Times New Roman" w:cs="Simplified Arabic"/>
      <w:sz w:val="20"/>
      <w:szCs w:val="20"/>
    </w:rPr>
  </w:style>
  <w:style w:type="character" w:styleId="a4">
    <w:name w:val="footnote reference"/>
    <w:basedOn w:val="a0"/>
    <w:uiPriority w:val="99"/>
    <w:semiHidden/>
    <w:unhideWhenUsed/>
    <w:rsid w:val="005D5937"/>
    <w:rPr>
      <w:vertAlign w:val="superscript"/>
    </w:rPr>
  </w:style>
  <w:style w:type="paragraph" w:styleId="a5">
    <w:name w:val="List Paragraph"/>
    <w:basedOn w:val="a"/>
    <w:uiPriority w:val="34"/>
    <w:qFormat/>
    <w:rsid w:val="005D5937"/>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937"/>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D5937"/>
    <w:rPr>
      <w:sz w:val="20"/>
      <w:szCs w:val="20"/>
    </w:rPr>
  </w:style>
  <w:style w:type="character" w:customStyle="1" w:styleId="Char">
    <w:name w:val="نص حاشية سفلية Char"/>
    <w:basedOn w:val="a0"/>
    <w:link w:val="a3"/>
    <w:uiPriority w:val="99"/>
    <w:rsid w:val="005D5937"/>
    <w:rPr>
      <w:rFonts w:ascii="Times New Roman" w:eastAsia="Times New Roman" w:hAnsi="Times New Roman" w:cs="Simplified Arabic"/>
      <w:sz w:val="20"/>
      <w:szCs w:val="20"/>
    </w:rPr>
  </w:style>
  <w:style w:type="character" w:styleId="a4">
    <w:name w:val="footnote reference"/>
    <w:basedOn w:val="a0"/>
    <w:uiPriority w:val="99"/>
    <w:semiHidden/>
    <w:unhideWhenUsed/>
    <w:rsid w:val="005D5937"/>
    <w:rPr>
      <w:vertAlign w:val="superscript"/>
    </w:rPr>
  </w:style>
  <w:style w:type="paragraph" w:styleId="a5">
    <w:name w:val="List Paragraph"/>
    <w:basedOn w:val="a"/>
    <w:uiPriority w:val="34"/>
    <w:qFormat/>
    <w:rsid w:val="005D593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0</DocSecurity>
  <Lines>7</Lines>
  <Paragraphs>1</Paragraphs>
  <ScaleCrop>false</ScaleCrop>
  <Company>SACC</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2025-12-20T10:31:00Z</dcterms:created>
  <dcterms:modified xsi:type="dcterms:W3CDTF">2025-12-20T10:32:00Z</dcterms:modified>
</cp:coreProperties>
</file>