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BD8" w:rsidRPr="00CA408B" w:rsidRDefault="00897BD8" w:rsidP="00897BD8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السلوك الاجتماعي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بوصفه </w:t>
      </w:r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>تبادل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اً.</w:t>
      </w:r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ورغم الاختلاف حول مجال التطبيق فثمة قاسم مشترك بين الفريقين هذا القاسم المشترك الذي يميزهم بشكل عام عن الواقعيين هو قولهم بقابلية النظرية الاقتصادية </w:t>
      </w:r>
      <w:proofErr w:type="spellStart"/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>للتنطبيق</w:t>
      </w:r>
      <w:proofErr w:type="spellEnd"/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في ثقافات مختلف في حين يرى الواقعي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و</w:t>
      </w:r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ن انها </w:t>
      </w:r>
      <w:proofErr w:type="spellStart"/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>لاتنطبق</w:t>
      </w:r>
      <w:proofErr w:type="spellEnd"/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الا في المجتمع الغربي </w:t>
      </w:r>
      <w:proofErr w:type="spellStart"/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>الراسمالي</w:t>
      </w:r>
      <w:proofErr w:type="spellEnd"/>
      <w:r>
        <w:rPr>
          <w:rStyle w:val="a4"/>
          <w:rFonts w:ascii="Simplified Arabic" w:hAnsi="Simplified Arabic" w:cs="Simplified Arabic"/>
          <w:sz w:val="32"/>
          <w:szCs w:val="32"/>
          <w:rtl/>
          <w:lang w:bidi="ar-IQ"/>
        </w:rPr>
        <w:footnoteReference w:customMarkFollows="1" w:id="1"/>
        <w:t>(1)</w:t>
      </w:r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897BD8" w:rsidRPr="00CA408B" w:rsidRDefault="00897BD8" w:rsidP="00897BD8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ويعتنق العلماء الصوريين فكرة عمومية تطبيق مفاهيم النظرية الاقتصادية مثل (مفهوم التعظيم, المرونة, الندرة, العرض, الطلب, رأس المال...الخ), وإمكان دمجها في الانثروبولوجيا الاقتصادية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واستعمالها</w:t>
      </w:r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في تحليل المادة </w:t>
      </w:r>
      <w:proofErr w:type="spellStart"/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>الامببريقية</w:t>
      </w:r>
      <w:proofErr w:type="spellEnd"/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المتوفرة عن الاقتصاديات البدائية والريفية, كما يستخدمون الأفكار الأولية لعلم الاقتصاد كوسيلة لتحليل الاقتصاديات</w:t>
      </w:r>
      <w:r w:rsidRPr="00F32FE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>كافة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.</w:t>
      </w:r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كما يرى الصوريين كذلك إمكانية تفسير أي تبادل </w:t>
      </w:r>
      <w:proofErr w:type="spellStart"/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>سوسيو</w:t>
      </w:r>
      <w:proofErr w:type="spellEnd"/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>-اقتصادي (</w:t>
      </w:r>
      <w:proofErr w:type="spellStart"/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>بوتلاش</w:t>
      </w:r>
      <w:proofErr w:type="spellEnd"/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CA408B">
        <w:rPr>
          <w:rFonts w:ascii="Simplified Arabic" w:hAnsi="Simplified Arabic" w:cs="Simplified Arabic"/>
          <w:b/>
          <w:bCs/>
          <w:i/>
          <w:iCs/>
          <w:sz w:val="32"/>
          <w:szCs w:val="32"/>
          <w:lang w:bidi="ar-IQ"/>
        </w:rPr>
        <w:t>Potlatch</w:t>
      </w:r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, كولا </w:t>
      </w:r>
      <w:r w:rsidRPr="00CA408B">
        <w:rPr>
          <w:rFonts w:ascii="Simplified Arabic" w:hAnsi="Simplified Arabic" w:cs="Simplified Arabic"/>
          <w:b/>
          <w:bCs/>
          <w:i/>
          <w:iCs/>
          <w:sz w:val="32"/>
          <w:szCs w:val="32"/>
          <w:lang w:bidi="ar-IQ"/>
        </w:rPr>
        <w:t>Kula</w:t>
      </w:r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, مهر العروس </w:t>
      </w:r>
      <w:proofErr w:type="spellStart"/>
      <w:r w:rsidRPr="00CA408B">
        <w:rPr>
          <w:rFonts w:ascii="Simplified Arabic" w:hAnsi="Simplified Arabic" w:cs="Simplified Arabic"/>
          <w:b/>
          <w:bCs/>
          <w:i/>
          <w:iCs/>
          <w:sz w:val="32"/>
          <w:szCs w:val="32"/>
          <w:lang w:bidi="ar-IQ"/>
        </w:rPr>
        <w:t>Bridwealth</w:t>
      </w:r>
      <w:proofErr w:type="spellEnd"/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>), ل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ي</w:t>
      </w:r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صبح موضوعاً لتحليلات اقتصادية بحتة,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فنرى</w:t>
      </w:r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>هومانز</w:t>
      </w:r>
      <w:proofErr w:type="spellEnd"/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>وبوسبيسيل</w:t>
      </w:r>
      <w:proofErr w:type="spellEnd"/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حول </w:t>
      </w:r>
      <w:proofErr w:type="spellStart"/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>البوتلاش</w:t>
      </w:r>
      <w:proofErr w:type="spellEnd"/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إلى نوع من الاستثمار يدر عائد 100% في دراستين منفصلتين, ومهر العروس درس على انه ثمن يدفع مقابل خدمات الجنسية والمنزلية جراي 1960, كما حولت النقود الصدفية في جزيرة </w:t>
      </w:r>
      <w:proofErr w:type="spellStart"/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>روسيل</w:t>
      </w:r>
      <w:proofErr w:type="spellEnd"/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إلى مدفوعات نقدية مقابل مشتريات السوق على ما فعل </w:t>
      </w:r>
      <w:proofErr w:type="spellStart"/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>ارمسترنج</w:t>
      </w:r>
      <w:proofErr w:type="spellEnd"/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1974. </w:t>
      </w:r>
    </w:p>
    <w:p w:rsidR="00897BD8" w:rsidRPr="00CA408B" w:rsidRDefault="00897BD8" w:rsidP="00897BD8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>ويقوم المدخل الصوري على فروض</w:t>
      </w:r>
      <w:r w:rsidRPr="00CA408B">
        <w:rPr>
          <w:rStyle w:val="a4"/>
          <w:rFonts w:ascii="Simplified Arabic" w:hAnsi="Simplified Arabic" w:cs="Simplified Arabic"/>
          <w:sz w:val="32"/>
          <w:szCs w:val="32"/>
          <w:rtl/>
          <w:lang w:bidi="ar-IQ"/>
        </w:rPr>
        <w:footnoteReference w:customMarkFollows="1" w:id="2"/>
        <w:t>(1)</w:t>
      </w:r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محددة هي:</w:t>
      </w:r>
    </w:p>
    <w:p w:rsidR="00174C82" w:rsidRDefault="00174C82">
      <w:pPr>
        <w:rPr>
          <w:lang w:bidi="ar-IQ"/>
        </w:rPr>
      </w:pPr>
      <w:bookmarkStart w:id="0" w:name="_GoBack"/>
      <w:bookmarkEnd w:id="0"/>
    </w:p>
    <w:sectPr w:rsidR="00174C82" w:rsidSect="005A40E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D4B" w:rsidRDefault="00236D4B" w:rsidP="00897BD8">
      <w:pPr>
        <w:spacing w:after="0" w:line="240" w:lineRule="auto"/>
      </w:pPr>
      <w:r>
        <w:separator/>
      </w:r>
    </w:p>
  </w:endnote>
  <w:endnote w:type="continuationSeparator" w:id="0">
    <w:p w:rsidR="00236D4B" w:rsidRDefault="00236D4B" w:rsidP="00897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D4B" w:rsidRDefault="00236D4B" w:rsidP="00897BD8">
      <w:pPr>
        <w:spacing w:after="0" w:line="240" w:lineRule="auto"/>
      </w:pPr>
      <w:r>
        <w:separator/>
      </w:r>
    </w:p>
  </w:footnote>
  <w:footnote w:type="continuationSeparator" w:id="0">
    <w:p w:rsidR="00236D4B" w:rsidRDefault="00236D4B" w:rsidP="00897BD8">
      <w:pPr>
        <w:spacing w:after="0" w:line="240" w:lineRule="auto"/>
      </w:pPr>
      <w:r>
        <w:continuationSeparator/>
      </w:r>
    </w:p>
  </w:footnote>
  <w:footnote w:id="1">
    <w:p w:rsidR="00897BD8" w:rsidRPr="00510D07" w:rsidRDefault="00897BD8" w:rsidP="00897BD8">
      <w:pPr>
        <w:pStyle w:val="a3"/>
        <w:rPr>
          <w:sz w:val="28"/>
          <w:szCs w:val="28"/>
        </w:rPr>
      </w:pPr>
      <w:r w:rsidRPr="00510D07">
        <w:rPr>
          <w:rStyle w:val="a4"/>
          <w:sz w:val="28"/>
          <w:szCs w:val="28"/>
          <w:rtl/>
        </w:rPr>
        <w:t>(1)</w:t>
      </w:r>
      <w:r w:rsidRPr="00510D07">
        <w:rPr>
          <w:sz w:val="28"/>
          <w:szCs w:val="28"/>
          <w:rtl/>
        </w:rPr>
        <w:t xml:space="preserve"> </w:t>
      </w:r>
      <w:r w:rsidRPr="00510D07">
        <w:rPr>
          <w:rFonts w:hint="cs"/>
          <w:sz w:val="28"/>
          <w:szCs w:val="28"/>
          <w:rtl/>
        </w:rPr>
        <w:t>غانم, عبد الله عبد الغني, مصدر سابق, ص20.</w:t>
      </w:r>
    </w:p>
  </w:footnote>
  <w:footnote w:id="2">
    <w:p w:rsidR="00897BD8" w:rsidRPr="00B20FA5" w:rsidRDefault="00897BD8" w:rsidP="00897BD8">
      <w:pPr>
        <w:pStyle w:val="a3"/>
        <w:bidi w:val="0"/>
        <w:rPr>
          <w:rFonts w:asciiTheme="majorBidi" w:hAnsiTheme="majorBidi" w:cstheme="majorBidi"/>
          <w:sz w:val="28"/>
          <w:szCs w:val="28"/>
          <w:lang w:bidi="ar-IQ"/>
        </w:rPr>
      </w:pPr>
      <w:r w:rsidRPr="00B20FA5">
        <w:rPr>
          <w:rStyle w:val="a4"/>
          <w:rFonts w:asciiTheme="majorBidi" w:hAnsiTheme="majorBidi" w:cstheme="majorBidi"/>
          <w:sz w:val="28"/>
          <w:szCs w:val="28"/>
          <w:rtl/>
        </w:rPr>
        <w:t>(1)</w:t>
      </w:r>
      <w:r w:rsidRPr="00B20FA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B20FA5">
        <w:rPr>
          <w:rFonts w:asciiTheme="majorBidi" w:hAnsiTheme="majorBidi" w:cstheme="majorBidi"/>
          <w:sz w:val="28"/>
          <w:szCs w:val="28"/>
          <w:lang w:bidi="ar-IQ"/>
        </w:rPr>
        <w:t xml:space="preserve"> Adrian </w:t>
      </w:r>
      <w:proofErr w:type="spellStart"/>
      <w:r w:rsidRPr="00B20FA5">
        <w:rPr>
          <w:rFonts w:asciiTheme="majorBidi" w:hAnsiTheme="majorBidi" w:cstheme="majorBidi"/>
          <w:sz w:val="28"/>
          <w:szCs w:val="28"/>
          <w:lang w:bidi="ar-IQ"/>
        </w:rPr>
        <w:t>Zebez</w:t>
      </w:r>
      <w:proofErr w:type="spellEnd"/>
      <w:r w:rsidRPr="00B20FA5">
        <w:rPr>
          <w:rFonts w:asciiTheme="majorBidi" w:hAnsiTheme="majorBidi" w:cstheme="majorBidi"/>
          <w:sz w:val="28"/>
          <w:szCs w:val="28"/>
          <w:lang w:bidi="ar-IQ"/>
        </w:rPr>
        <w:t xml:space="preserve">, M.P hill SAA, Formalism, </w:t>
      </w:r>
      <w:proofErr w:type="spellStart"/>
      <w:r w:rsidRPr="00B20FA5">
        <w:rPr>
          <w:rFonts w:asciiTheme="majorBidi" w:hAnsiTheme="majorBidi" w:cstheme="majorBidi"/>
          <w:sz w:val="28"/>
          <w:szCs w:val="28"/>
          <w:lang w:bidi="ar-IQ"/>
        </w:rPr>
        <w:t>Substantivism</w:t>
      </w:r>
      <w:proofErr w:type="spellEnd"/>
      <w:r w:rsidRPr="00B20FA5">
        <w:rPr>
          <w:rFonts w:asciiTheme="majorBidi" w:hAnsiTheme="majorBidi" w:cstheme="majorBidi"/>
          <w:sz w:val="28"/>
          <w:szCs w:val="28"/>
          <w:lang w:bidi="ar-IQ"/>
        </w:rPr>
        <w:t xml:space="preserve">, and </w:t>
      </w:r>
      <w:proofErr w:type="spellStart"/>
      <w:r w:rsidRPr="00B20FA5">
        <w:rPr>
          <w:rFonts w:asciiTheme="majorBidi" w:hAnsiTheme="majorBidi" w:cstheme="majorBidi"/>
          <w:sz w:val="28"/>
          <w:szCs w:val="28"/>
          <w:lang w:bidi="ar-IQ"/>
        </w:rPr>
        <w:t>Cult</w:t>
      </w:r>
      <w:r>
        <w:rPr>
          <w:rFonts w:asciiTheme="majorBidi" w:hAnsiTheme="majorBidi" w:cstheme="majorBidi"/>
          <w:sz w:val="28"/>
          <w:szCs w:val="28"/>
          <w:lang w:bidi="ar-IQ"/>
        </w:rPr>
        <w:t>u</w:t>
      </w:r>
      <w:r w:rsidRPr="00B20FA5">
        <w:rPr>
          <w:rFonts w:asciiTheme="majorBidi" w:hAnsiTheme="majorBidi" w:cstheme="majorBidi"/>
          <w:sz w:val="28"/>
          <w:szCs w:val="28"/>
          <w:lang w:bidi="ar-IQ"/>
        </w:rPr>
        <w:t>ralism</w:t>
      </w:r>
      <w:proofErr w:type="spellEnd"/>
      <w:r w:rsidRPr="00B20FA5">
        <w:rPr>
          <w:rFonts w:asciiTheme="majorBidi" w:hAnsiTheme="majorBidi" w:cstheme="majorBidi"/>
          <w:sz w:val="28"/>
          <w:szCs w:val="28"/>
          <w:lang w:bidi="ar-IQ"/>
        </w:rPr>
        <w:t>, Key Debates in Economic Anthropology , Adrian Z., London, 2005, P.38.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BD8"/>
    <w:rsid w:val="00174C82"/>
    <w:rsid w:val="00236D4B"/>
    <w:rsid w:val="005A40EB"/>
    <w:rsid w:val="0089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D8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unhideWhenUsed/>
    <w:rsid w:val="00897BD8"/>
    <w:pPr>
      <w:spacing w:after="0" w:line="240" w:lineRule="auto"/>
    </w:pPr>
    <w:rPr>
      <w:rFonts w:ascii="Times New Roman" w:eastAsia="Times New Roman" w:hAnsi="Times New Roman" w:cs="Simplified Arabic"/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rsid w:val="00897BD8"/>
    <w:rPr>
      <w:rFonts w:ascii="Times New Roman" w:eastAsia="Times New Roman" w:hAnsi="Times New Roman" w:cs="Simplified Arabic"/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897BD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D8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unhideWhenUsed/>
    <w:rsid w:val="00897BD8"/>
    <w:pPr>
      <w:spacing w:after="0" w:line="240" w:lineRule="auto"/>
    </w:pPr>
    <w:rPr>
      <w:rFonts w:ascii="Times New Roman" w:eastAsia="Times New Roman" w:hAnsi="Times New Roman" w:cs="Simplified Arabic"/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rsid w:val="00897BD8"/>
    <w:rPr>
      <w:rFonts w:ascii="Times New Roman" w:eastAsia="Times New Roman" w:hAnsi="Times New Roman" w:cs="Simplified Arabic"/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897B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>SACC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1</cp:revision>
  <dcterms:created xsi:type="dcterms:W3CDTF">2025-12-20T10:38:00Z</dcterms:created>
  <dcterms:modified xsi:type="dcterms:W3CDTF">2025-12-20T10:38:00Z</dcterms:modified>
</cp:coreProperties>
</file>