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10BC9E" w14:textId="0856A757" w:rsidR="005B0434" w:rsidRPr="00B74EDA" w:rsidRDefault="005B0434" w:rsidP="005B0434">
      <w:pPr>
        <w:spacing w:after="0"/>
        <w:rPr>
          <w:rFonts w:asciiTheme="majorBidi" w:eastAsia="Cambria" w:hAnsiTheme="majorBidi" w:cstheme="majorBidi"/>
          <w:b/>
          <w:bCs/>
          <w:i/>
          <w:iCs/>
          <w:color w:val="000000"/>
          <w:position w:val="-1"/>
          <w:sz w:val="32"/>
          <w:szCs w:val="32"/>
          <w:u w:val="single"/>
          <w:rtl/>
        </w:rPr>
      </w:pPr>
      <w:r w:rsidRPr="00B74EDA">
        <w:rPr>
          <w:rFonts w:asciiTheme="majorBidi" w:eastAsia="Cambria" w:hAnsiTheme="majorBidi" w:cstheme="majorBidi"/>
          <w:b/>
          <w:bCs/>
          <w:color w:val="000000"/>
          <w:position w:val="-1"/>
          <w:sz w:val="32"/>
          <w:szCs w:val="32"/>
          <w:u w:val="single"/>
          <w:rtl/>
        </w:rPr>
        <w:t>المحاضرة الثانية</w:t>
      </w:r>
    </w:p>
    <w:p w14:paraId="29906753" w14:textId="701EC24B" w:rsidR="001E1CCE" w:rsidRPr="00B74EDA" w:rsidRDefault="00D1734E" w:rsidP="002330D3">
      <w:pPr>
        <w:jc w:val="center"/>
        <w:rPr>
          <w:rFonts w:asciiTheme="majorBidi" w:hAnsiTheme="majorBidi" w:cstheme="majorBidi"/>
          <w:b/>
          <w:bCs/>
          <w:sz w:val="32"/>
          <w:szCs w:val="32"/>
          <w:rtl/>
        </w:rPr>
      </w:pPr>
      <w:r w:rsidRPr="00B74EDA">
        <w:rPr>
          <w:rFonts w:asciiTheme="majorBidi" w:eastAsia="Cambria" w:hAnsiTheme="majorBidi" w:cstheme="majorBidi"/>
          <w:b/>
          <w:bCs/>
          <w:color w:val="000000"/>
          <w:position w:val="-1"/>
          <w:sz w:val="32"/>
          <w:szCs w:val="32"/>
          <w:rtl/>
        </w:rPr>
        <w:t>تاريخ نشأة الأدب المقارن</w:t>
      </w:r>
    </w:p>
    <w:p w14:paraId="1B602599" w14:textId="77777777" w:rsidR="005B0434" w:rsidRPr="00B74EDA" w:rsidRDefault="005B0434" w:rsidP="005B0434">
      <w:pPr>
        <w:spacing w:after="0" w:line="240" w:lineRule="auto"/>
        <w:jc w:val="both"/>
        <w:rPr>
          <w:rFonts w:asciiTheme="majorBidi" w:hAnsiTheme="majorBidi" w:cstheme="majorBidi"/>
          <w:b/>
          <w:bCs/>
          <w:sz w:val="28"/>
          <w:szCs w:val="28"/>
          <w:rtl/>
        </w:rPr>
      </w:pPr>
    </w:p>
    <w:p w14:paraId="43135E2F" w14:textId="0A582D74" w:rsidR="002330D3" w:rsidRPr="00B74EDA" w:rsidRDefault="002330D3" w:rsidP="008B7FAC">
      <w:pPr>
        <w:jc w:val="both"/>
        <w:rPr>
          <w:rFonts w:asciiTheme="majorBidi" w:hAnsiTheme="majorBidi" w:cstheme="majorBidi"/>
          <w:sz w:val="28"/>
          <w:szCs w:val="28"/>
          <w:rtl/>
        </w:rPr>
      </w:pPr>
      <w:r w:rsidRPr="00B74EDA">
        <w:rPr>
          <w:rFonts w:asciiTheme="majorBidi" w:hAnsiTheme="majorBidi" w:cstheme="majorBidi"/>
          <w:sz w:val="28"/>
          <w:szCs w:val="28"/>
          <w:rtl/>
        </w:rPr>
        <w:t>مدلول (الأدب المقارن) مدلول تاريخي يدرس مواطن التلاقي بين الآداب المختلفة، وصلاتها الكثيرة المعقدة، في حاضرها أو في ماضيها، وما لهذه الصلات التاريخية من تأثير أو تأثر أيًّا كان مظاهر ذلك التأثير والتأثُّر، سواء تعلَّقت بالأصول الفنية العامة للأجناس والمذاهب الأدبية أو التيارات الفكرية أو اتصلت بطبيعة الموضوعات والمواقف والأشخاص التي تُعالج أو تحاكى في الأدب، أو كانت تمسُّ مسائل الصياغة الفنية والأفكار الجزئية في العمل الأدبي أو كانت خاصة بصورة البلاد المختلفة، كما تنعكس في ال</w:t>
      </w:r>
      <w:r w:rsidR="00B74EDA">
        <w:rPr>
          <w:rFonts w:asciiTheme="majorBidi" w:hAnsiTheme="majorBidi" w:cstheme="majorBidi" w:hint="cs"/>
          <w:sz w:val="28"/>
          <w:szCs w:val="28"/>
          <w:rtl/>
        </w:rPr>
        <w:t>آ</w:t>
      </w:r>
      <w:r w:rsidRPr="00B74EDA">
        <w:rPr>
          <w:rFonts w:asciiTheme="majorBidi" w:hAnsiTheme="majorBidi" w:cstheme="majorBidi"/>
          <w:sz w:val="28"/>
          <w:szCs w:val="28"/>
          <w:rtl/>
        </w:rPr>
        <w:t>داب من الأمم الأخرى بوصفها صلات فنية تربط بين الشعوب والدول برابط  إنسانية  تختلف  باختلاف الصور والكتاب، ثم ما يمتُّ  إلى ذلك بصلة من عوامل التأثير والتأثُّر في أدب الرحالة من الكتاب</w:t>
      </w:r>
      <w:r w:rsidRPr="00B74EDA">
        <w:rPr>
          <w:rFonts w:asciiTheme="majorBidi" w:hAnsiTheme="majorBidi" w:cstheme="majorBidi"/>
          <w:sz w:val="28"/>
          <w:szCs w:val="28"/>
        </w:rPr>
        <w:t>.</w:t>
      </w:r>
    </w:p>
    <w:p w14:paraId="6C78A92F" w14:textId="7491C1C5" w:rsidR="002330D3" w:rsidRPr="00B74EDA" w:rsidRDefault="002330D3" w:rsidP="002330D3">
      <w:pPr>
        <w:jc w:val="both"/>
        <w:rPr>
          <w:rFonts w:asciiTheme="majorBidi" w:hAnsiTheme="majorBidi" w:cstheme="majorBidi"/>
          <w:b/>
          <w:bCs/>
          <w:sz w:val="32"/>
          <w:szCs w:val="32"/>
          <w:rtl/>
        </w:rPr>
      </w:pPr>
      <w:r w:rsidRPr="00B74EDA">
        <w:rPr>
          <w:rFonts w:asciiTheme="majorBidi" w:hAnsiTheme="majorBidi" w:cstheme="majorBidi"/>
          <w:b/>
          <w:bCs/>
          <w:sz w:val="32"/>
          <w:szCs w:val="32"/>
          <w:rtl/>
        </w:rPr>
        <w:t>متى نُسمِّي الأدب أدب</w:t>
      </w:r>
      <w:r w:rsidR="00B74EDA">
        <w:rPr>
          <w:rFonts w:asciiTheme="majorBidi" w:hAnsiTheme="majorBidi" w:cstheme="majorBidi" w:hint="cs"/>
          <w:b/>
          <w:bCs/>
          <w:sz w:val="32"/>
          <w:szCs w:val="32"/>
          <w:rtl/>
        </w:rPr>
        <w:t>ا</w:t>
      </w:r>
      <w:r w:rsidRPr="00B74EDA">
        <w:rPr>
          <w:rFonts w:asciiTheme="majorBidi" w:hAnsiTheme="majorBidi" w:cstheme="majorBidi"/>
          <w:b/>
          <w:bCs/>
          <w:sz w:val="32"/>
          <w:szCs w:val="32"/>
          <w:rtl/>
        </w:rPr>
        <w:t>ً مقارن</w:t>
      </w:r>
      <w:r w:rsidR="00B74EDA">
        <w:rPr>
          <w:rFonts w:asciiTheme="majorBidi" w:hAnsiTheme="majorBidi" w:cstheme="majorBidi" w:hint="cs"/>
          <w:b/>
          <w:bCs/>
          <w:sz w:val="32"/>
          <w:szCs w:val="32"/>
          <w:rtl/>
        </w:rPr>
        <w:t>ا</w:t>
      </w:r>
      <w:r w:rsidRPr="00B74EDA">
        <w:rPr>
          <w:rFonts w:asciiTheme="majorBidi" w:hAnsiTheme="majorBidi" w:cstheme="majorBidi"/>
          <w:b/>
          <w:bCs/>
          <w:sz w:val="32"/>
          <w:szCs w:val="32"/>
          <w:rtl/>
        </w:rPr>
        <w:t>ً أو ما هي شروط الأدب المقارن؟</w:t>
      </w:r>
    </w:p>
    <w:p w14:paraId="5D74BC86" w14:textId="22D385E4" w:rsidR="002330D3" w:rsidRPr="00B74EDA" w:rsidRDefault="002330D3" w:rsidP="008B7FAC">
      <w:pPr>
        <w:jc w:val="both"/>
        <w:rPr>
          <w:rFonts w:asciiTheme="majorBidi" w:hAnsiTheme="majorBidi" w:cstheme="majorBidi"/>
          <w:sz w:val="28"/>
          <w:szCs w:val="28"/>
        </w:rPr>
      </w:pPr>
      <w:r w:rsidRPr="00B74EDA">
        <w:rPr>
          <w:rFonts w:asciiTheme="majorBidi" w:hAnsiTheme="majorBidi" w:cstheme="majorBidi"/>
          <w:sz w:val="28"/>
          <w:szCs w:val="28"/>
          <w:rtl/>
        </w:rPr>
        <w:t>أن يكون هناك لغتان لأدبين مختلفين، وإن كانا من نفس اللغة سميت موازنات أو أدب قومي، وأن يوجد هناك عملية تفاعلية بين تأثير وتأثُّر، كما لا بُدَّ من وجود صلات تاريخية بين الأدبين المقارن بينهما</w:t>
      </w:r>
      <w:r w:rsidRPr="00B74EDA">
        <w:rPr>
          <w:rFonts w:asciiTheme="majorBidi" w:hAnsiTheme="majorBidi" w:cstheme="majorBidi"/>
          <w:sz w:val="28"/>
          <w:szCs w:val="28"/>
        </w:rPr>
        <w:t>.</w:t>
      </w:r>
    </w:p>
    <w:p w14:paraId="627138A5" w14:textId="77777777" w:rsidR="002330D3" w:rsidRPr="00B74EDA" w:rsidRDefault="002330D3" w:rsidP="002330D3">
      <w:pPr>
        <w:jc w:val="both"/>
        <w:rPr>
          <w:rFonts w:asciiTheme="majorBidi" w:hAnsiTheme="majorBidi" w:cstheme="majorBidi"/>
          <w:b/>
          <w:bCs/>
          <w:sz w:val="32"/>
          <w:szCs w:val="32"/>
        </w:rPr>
      </w:pPr>
      <w:r w:rsidRPr="00B74EDA">
        <w:rPr>
          <w:rFonts w:asciiTheme="majorBidi" w:hAnsiTheme="majorBidi" w:cstheme="majorBidi"/>
          <w:b/>
          <w:bCs/>
          <w:sz w:val="32"/>
          <w:szCs w:val="32"/>
          <w:rtl/>
        </w:rPr>
        <w:t>نشأة الأدب المقارن</w:t>
      </w:r>
      <w:r w:rsidRPr="00B74EDA">
        <w:rPr>
          <w:rFonts w:asciiTheme="majorBidi" w:hAnsiTheme="majorBidi" w:cstheme="majorBidi"/>
          <w:b/>
          <w:bCs/>
          <w:sz w:val="32"/>
          <w:szCs w:val="32"/>
        </w:rPr>
        <w:t>:</w:t>
      </w:r>
    </w:p>
    <w:p w14:paraId="364A5909" w14:textId="0AF0CD26" w:rsidR="002330D3" w:rsidRPr="00B74EDA" w:rsidRDefault="002330D3" w:rsidP="008B7FAC">
      <w:pPr>
        <w:jc w:val="both"/>
        <w:rPr>
          <w:rFonts w:asciiTheme="majorBidi" w:hAnsiTheme="majorBidi" w:cstheme="majorBidi"/>
          <w:sz w:val="28"/>
          <w:szCs w:val="28"/>
        </w:rPr>
      </w:pPr>
      <w:r w:rsidRPr="00B74EDA">
        <w:rPr>
          <w:rFonts w:asciiTheme="majorBidi" w:hAnsiTheme="majorBidi" w:cstheme="majorBidi"/>
          <w:sz w:val="28"/>
          <w:szCs w:val="28"/>
          <w:rtl/>
        </w:rPr>
        <w:t>من سابق معرفتنا بأن الأدب المقارن ناتج عن تأثُّر أدب بأدب آخر، فنعود بأقدم صورة من ذلك التأثُّر التي تعود من معركة قام بها الرومان على اليونان منذ 146 عامًا قبل الميلاد، انتصر فيها الرومان على اليونان عسكريًّا، ولكنها ما لبثت إلا أن أصبحت اليونان منتصرةً على الرومان ثقافيًّا وأدبيًّا، وكثير</w:t>
      </w:r>
      <w:r w:rsidR="00B74EDA">
        <w:rPr>
          <w:rFonts w:asciiTheme="majorBidi" w:hAnsiTheme="majorBidi" w:cstheme="majorBidi" w:hint="cs"/>
          <w:sz w:val="28"/>
          <w:szCs w:val="28"/>
          <w:rtl/>
        </w:rPr>
        <w:t>ا</w:t>
      </w:r>
      <w:r w:rsidRPr="00B74EDA">
        <w:rPr>
          <w:rFonts w:asciiTheme="majorBidi" w:hAnsiTheme="majorBidi" w:cstheme="majorBidi"/>
          <w:sz w:val="28"/>
          <w:szCs w:val="28"/>
          <w:rtl/>
        </w:rPr>
        <w:t xml:space="preserve">ً ما يُردِّد مؤرخو الفكر الإنساني أن روما مَدِينةٌ لليونان في فلسفتها ونزعتها الإنسانية والأدبية، وفي هذا كانت محاكاة الرومانيين الأدباء اليونان وكُتَّابهم وفلاسفتهم ملحوظة من مؤرخي الأدب والفكر حتى من مؤرخي الرومان أنفسهم، ومن هذه المحاكاة بين الرومانيين واليونانيين بدأت المحاكاة بين الأدب اللاتيني، وسرعان ما بدأ النُّقَّاد </w:t>
      </w:r>
      <w:proofErr w:type="spellStart"/>
      <w:r w:rsidRPr="00B74EDA">
        <w:rPr>
          <w:rFonts w:asciiTheme="majorBidi" w:hAnsiTheme="majorBidi" w:cstheme="majorBidi"/>
          <w:sz w:val="28"/>
          <w:szCs w:val="28"/>
          <w:rtl/>
        </w:rPr>
        <w:t>اللاتينيُّون</w:t>
      </w:r>
      <w:proofErr w:type="spellEnd"/>
      <w:r w:rsidRPr="00B74EDA">
        <w:rPr>
          <w:rFonts w:asciiTheme="majorBidi" w:hAnsiTheme="majorBidi" w:cstheme="majorBidi"/>
          <w:sz w:val="28"/>
          <w:szCs w:val="28"/>
          <w:rtl/>
        </w:rPr>
        <w:t xml:space="preserve"> بالسير بخطى الرومانيين بنهضة أدبهم من خلال محاكاة الأدب اليوناني، وهذه المحاكاة مغايرة عن محاكاة أرسطو حين أراد أن يُبيِّن الصلة بين الفن بعامة وبين الطبيعة، فالشاعر عند النُّقَّاد الرومان يحاكي العباقرة الذين يحاكوا الطبيعة، ويقول هوراس بين عام 8-85 قبل الميلاد: اتبعوا أمثلة الإغريق، واعكفوا على دراستها ليلًا ونهارًا، وهذا الدليل الأول والأبرز بتأثر الرومانيين واللاتينيين باليونان وأدبها</w:t>
      </w:r>
      <w:r w:rsidRPr="00B74EDA">
        <w:rPr>
          <w:rFonts w:asciiTheme="majorBidi" w:hAnsiTheme="majorBidi" w:cstheme="majorBidi"/>
          <w:sz w:val="28"/>
          <w:szCs w:val="28"/>
        </w:rPr>
        <w:t>.</w:t>
      </w:r>
    </w:p>
    <w:p w14:paraId="72BB900D" w14:textId="0D25A9C7" w:rsidR="002330D3" w:rsidRPr="00B74EDA" w:rsidRDefault="002330D3" w:rsidP="008B7FAC">
      <w:pPr>
        <w:jc w:val="both"/>
        <w:rPr>
          <w:rFonts w:asciiTheme="majorBidi" w:hAnsiTheme="majorBidi" w:cstheme="majorBidi"/>
          <w:sz w:val="28"/>
          <w:szCs w:val="28"/>
        </w:rPr>
      </w:pPr>
      <w:r w:rsidRPr="00B74EDA">
        <w:rPr>
          <w:rFonts w:asciiTheme="majorBidi" w:hAnsiTheme="majorBidi" w:cstheme="majorBidi"/>
          <w:sz w:val="28"/>
          <w:szCs w:val="28"/>
          <w:rtl/>
        </w:rPr>
        <w:t xml:space="preserve">وقد </w:t>
      </w:r>
      <w:r w:rsidR="008B7FAC" w:rsidRPr="00B74EDA">
        <w:rPr>
          <w:rFonts w:asciiTheme="majorBidi" w:hAnsiTheme="majorBidi" w:cstheme="majorBidi"/>
          <w:sz w:val="28"/>
          <w:szCs w:val="28"/>
          <w:rtl/>
        </w:rPr>
        <w:t>جاء</w:t>
      </w:r>
      <w:r w:rsidRPr="00B74EDA">
        <w:rPr>
          <w:rFonts w:asciiTheme="majorBidi" w:hAnsiTheme="majorBidi" w:cstheme="majorBidi"/>
          <w:sz w:val="28"/>
          <w:szCs w:val="28"/>
          <w:rtl/>
        </w:rPr>
        <w:t xml:space="preserve"> بعد ذلك الناقد الروماني (</w:t>
      </w:r>
      <w:proofErr w:type="spellStart"/>
      <w:r w:rsidRPr="00B74EDA">
        <w:rPr>
          <w:rFonts w:asciiTheme="majorBidi" w:hAnsiTheme="majorBidi" w:cstheme="majorBidi"/>
          <w:sz w:val="28"/>
          <w:szCs w:val="28"/>
          <w:rtl/>
        </w:rPr>
        <w:t>كانتيليا</w:t>
      </w:r>
      <w:proofErr w:type="spellEnd"/>
      <w:r w:rsidRPr="00B74EDA">
        <w:rPr>
          <w:rFonts w:asciiTheme="majorBidi" w:hAnsiTheme="majorBidi" w:cstheme="majorBidi"/>
          <w:sz w:val="28"/>
          <w:szCs w:val="28"/>
          <w:rtl/>
        </w:rPr>
        <w:t>) بين عامي 35-96 ميلادية خطوات واسعة كانت ذات أثر بعيد المدى لدى النُّقَّاد حتى الكلاسيكيين، وسَنَّ قواعد للمحاكاة ظلَّت مستمرةً قرونًا حيث يرى  أن المحاكاة للكاتب والشاعر مبدأ من مبادئ الفن، وتتطلب موهبة خاصة فيهما، كما لا بُدَّ من المحاكاة ألَّا تكون للكلمات والعبارات بقدر ما هي لجوهر موضوع  الأدب ومنهجه، وعلى من يختار محاكاة اليونانيين أن يختار نماذج جيدة للمحاكاة، وبذلك  ازدهر الأدب الروماني أشدَّ الازدهار، واستمرت هذه القواعد أساس حتى العصور الوسطى التي  امتدت من عام 1453م إلى 1495م  </w:t>
      </w:r>
      <w:r w:rsidR="008B7FAC" w:rsidRPr="00B74EDA">
        <w:rPr>
          <w:rFonts w:asciiTheme="majorBidi" w:hAnsiTheme="majorBidi" w:cstheme="majorBidi"/>
          <w:sz w:val="28"/>
          <w:szCs w:val="28"/>
          <w:rtl/>
        </w:rPr>
        <w:t>إذ</w:t>
      </w:r>
      <w:r w:rsidRPr="00B74EDA">
        <w:rPr>
          <w:rFonts w:asciiTheme="majorBidi" w:hAnsiTheme="majorBidi" w:cstheme="majorBidi"/>
          <w:sz w:val="28"/>
          <w:szCs w:val="28"/>
          <w:rtl/>
        </w:rPr>
        <w:t xml:space="preserve"> خضعت الآداب الأوربية المختلفة لعوامل مشتركة كثيرة، وثقت العلاقة فيما بينها، ووحَّدَت اتجاهاتها، وكان أثر هذا التوحيد في اتجاه الأدب لمظهرين</w:t>
      </w:r>
      <w:r w:rsidRPr="00B74EDA">
        <w:rPr>
          <w:rFonts w:asciiTheme="majorBidi" w:hAnsiTheme="majorBidi" w:cstheme="majorBidi"/>
          <w:sz w:val="28"/>
          <w:szCs w:val="28"/>
        </w:rPr>
        <w:t>:</w:t>
      </w:r>
    </w:p>
    <w:p w14:paraId="26800B73" w14:textId="2F29200D" w:rsidR="002330D3" w:rsidRPr="00B74EDA" w:rsidRDefault="008B7FAC" w:rsidP="008B7FAC">
      <w:pPr>
        <w:jc w:val="both"/>
        <w:rPr>
          <w:rFonts w:asciiTheme="majorBidi" w:hAnsiTheme="majorBidi" w:cstheme="majorBidi"/>
          <w:sz w:val="28"/>
          <w:szCs w:val="28"/>
        </w:rPr>
      </w:pPr>
      <w:r w:rsidRPr="00B74EDA">
        <w:rPr>
          <w:rFonts w:asciiTheme="majorBidi" w:hAnsiTheme="majorBidi" w:cstheme="majorBidi"/>
          <w:b/>
          <w:bCs/>
          <w:sz w:val="28"/>
          <w:szCs w:val="28"/>
          <w:rtl/>
        </w:rPr>
        <w:lastRenderedPageBreak/>
        <w:t>المظهر الأول</w:t>
      </w:r>
      <w:r w:rsidRPr="00B74EDA">
        <w:rPr>
          <w:rFonts w:asciiTheme="majorBidi" w:hAnsiTheme="majorBidi" w:cstheme="majorBidi"/>
          <w:sz w:val="28"/>
          <w:szCs w:val="28"/>
        </w:rPr>
        <w:t>:</w:t>
      </w:r>
      <w:r w:rsidRPr="00B74EDA">
        <w:rPr>
          <w:rFonts w:asciiTheme="majorBidi" w:hAnsiTheme="majorBidi" w:cstheme="majorBidi"/>
          <w:sz w:val="28"/>
          <w:szCs w:val="28"/>
          <w:rtl/>
        </w:rPr>
        <w:t xml:space="preserve"> ديني</w:t>
      </w:r>
      <w:r w:rsidR="002330D3" w:rsidRPr="00B74EDA">
        <w:rPr>
          <w:rFonts w:asciiTheme="majorBidi" w:hAnsiTheme="majorBidi" w:cstheme="majorBidi"/>
          <w:sz w:val="28"/>
          <w:szCs w:val="28"/>
          <w:rtl/>
        </w:rPr>
        <w:t> كان المسيطر فيه رجال الدين، وتتغلغل روح المسيح في الإنتاج الأدبي، ولغة العلم اللاتينية وهي لغة الكنيسة السائدة</w:t>
      </w:r>
      <w:r w:rsidR="002330D3" w:rsidRPr="00B74EDA">
        <w:rPr>
          <w:rFonts w:asciiTheme="majorBidi" w:hAnsiTheme="majorBidi" w:cstheme="majorBidi"/>
          <w:sz w:val="28"/>
          <w:szCs w:val="28"/>
        </w:rPr>
        <w:t>.</w:t>
      </w:r>
    </w:p>
    <w:p w14:paraId="6111C303" w14:textId="6178BA3F" w:rsidR="002330D3" w:rsidRPr="00B74EDA" w:rsidRDefault="002330D3" w:rsidP="008B7FAC">
      <w:pPr>
        <w:jc w:val="both"/>
        <w:rPr>
          <w:rFonts w:asciiTheme="majorBidi" w:hAnsiTheme="majorBidi" w:cstheme="majorBidi"/>
          <w:sz w:val="28"/>
          <w:szCs w:val="28"/>
        </w:rPr>
      </w:pPr>
      <w:r w:rsidRPr="00B74EDA">
        <w:rPr>
          <w:rFonts w:asciiTheme="majorBidi" w:hAnsiTheme="majorBidi" w:cstheme="majorBidi"/>
          <w:b/>
          <w:bCs/>
          <w:sz w:val="28"/>
          <w:szCs w:val="28"/>
          <w:rtl/>
        </w:rPr>
        <w:t xml:space="preserve">المظهر </w:t>
      </w:r>
      <w:r w:rsidR="008B7FAC" w:rsidRPr="00B74EDA">
        <w:rPr>
          <w:rFonts w:asciiTheme="majorBidi" w:hAnsiTheme="majorBidi" w:cstheme="majorBidi"/>
          <w:b/>
          <w:bCs/>
          <w:sz w:val="28"/>
          <w:szCs w:val="28"/>
          <w:rtl/>
        </w:rPr>
        <w:t>الثاني</w:t>
      </w:r>
      <w:r w:rsidR="008B7FAC" w:rsidRPr="00B74EDA">
        <w:rPr>
          <w:rFonts w:asciiTheme="majorBidi" w:hAnsiTheme="majorBidi" w:cstheme="majorBidi"/>
          <w:sz w:val="28"/>
          <w:szCs w:val="28"/>
          <w:rtl/>
        </w:rPr>
        <w:t>: في</w:t>
      </w:r>
      <w:r w:rsidRPr="00B74EDA">
        <w:rPr>
          <w:rFonts w:asciiTheme="majorBidi" w:hAnsiTheme="majorBidi" w:cstheme="majorBidi"/>
          <w:sz w:val="28"/>
          <w:szCs w:val="28"/>
          <w:rtl/>
        </w:rPr>
        <w:t> الفروسية التي وحَّدت بين كثير من الآداب الأوربية في تلك العصور</w:t>
      </w:r>
      <w:r w:rsidRPr="00B74EDA">
        <w:rPr>
          <w:rFonts w:asciiTheme="majorBidi" w:hAnsiTheme="majorBidi" w:cstheme="majorBidi"/>
          <w:sz w:val="28"/>
          <w:szCs w:val="28"/>
        </w:rPr>
        <w:t>.</w:t>
      </w:r>
    </w:p>
    <w:p w14:paraId="28A834A1" w14:textId="5D985D4B" w:rsidR="002330D3" w:rsidRPr="00B74EDA" w:rsidRDefault="002330D3" w:rsidP="002330D3">
      <w:pPr>
        <w:jc w:val="both"/>
        <w:rPr>
          <w:rFonts w:asciiTheme="majorBidi" w:hAnsiTheme="majorBidi" w:cstheme="majorBidi"/>
          <w:sz w:val="28"/>
          <w:szCs w:val="28"/>
        </w:rPr>
      </w:pPr>
      <w:r w:rsidRPr="00B74EDA">
        <w:rPr>
          <w:rFonts w:asciiTheme="majorBidi" w:hAnsiTheme="majorBidi" w:cstheme="majorBidi"/>
          <w:sz w:val="28"/>
          <w:szCs w:val="28"/>
          <w:rtl/>
        </w:rPr>
        <w:t>وفي هذين الاتجاهين سار الإنتاج الأدبي، وأكُسِب طابع العالمية في اتجاهه العام، وكان من الممكن أن تنشأ دراسات مقارنة؛ ولكن لم تظهر وتأخَّرت حتى القرن الخامس والسادس عشر</w:t>
      </w:r>
      <w:r w:rsidRPr="00B74EDA">
        <w:rPr>
          <w:rFonts w:asciiTheme="majorBidi" w:hAnsiTheme="majorBidi" w:cstheme="majorBidi"/>
          <w:sz w:val="28"/>
          <w:szCs w:val="28"/>
        </w:rPr>
        <w:t>.</w:t>
      </w:r>
    </w:p>
    <w:sectPr w:rsidR="002330D3" w:rsidRPr="00B74EDA" w:rsidSect="007A3914">
      <w:pgSz w:w="11907" w:h="16839" w:code="9"/>
      <w:pgMar w:top="1418" w:right="1418" w:bottom="1418" w:left="1418"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34E"/>
    <w:rsid w:val="001E1CCE"/>
    <w:rsid w:val="002330D3"/>
    <w:rsid w:val="005B0434"/>
    <w:rsid w:val="00722F33"/>
    <w:rsid w:val="007A3914"/>
    <w:rsid w:val="008B7FAC"/>
    <w:rsid w:val="00B74EDA"/>
    <w:rsid w:val="00CB06EB"/>
    <w:rsid w:val="00CE2766"/>
    <w:rsid w:val="00D1734E"/>
    <w:rsid w:val="00EE36A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5FD4C"/>
  <w15:chartTrackingRefBased/>
  <w15:docId w15:val="{87A91A13-E076-4021-8143-49D2F8DAA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806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457</Words>
  <Characters>2610</Characters>
  <Application>Microsoft Office Word</Application>
  <DocSecurity>0</DocSecurity>
  <Lines>21</Lines>
  <Paragraphs>6</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3061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dc:creator>
  <cp:keywords/>
  <dc:description/>
  <cp:lastModifiedBy>Maher</cp:lastModifiedBy>
  <cp:revision>5</cp:revision>
  <dcterms:created xsi:type="dcterms:W3CDTF">2026-05-18T09:23:00Z</dcterms:created>
  <dcterms:modified xsi:type="dcterms:W3CDTF">2026-05-21T21:35:00Z</dcterms:modified>
</cp:coreProperties>
</file>