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54597" w14:textId="24ECA929" w:rsidR="00857BAB" w:rsidRDefault="00857BAB" w:rsidP="009019E8">
      <w:pPr>
        <w:spacing w:after="0" w:line="240" w:lineRule="auto"/>
        <w:rPr>
          <w:rFonts w:asciiTheme="majorBidi" w:hAnsiTheme="majorBidi" w:cstheme="majorBidi"/>
          <w:b/>
          <w:bCs/>
          <w:sz w:val="32"/>
          <w:szCs w:val="32"/>
          <w:u w:val="single"/>
          <w:rtl/>
          <w:lang w:bidi="ar-IQ"/>
        </w:rPr>
      </w:pPr>
      <w:r w:rsidRPr="009019E8">
        <w:rPr>
          <w:rFonts w:asciiTheme="majorBidi" w:hAnsiTheme="majorBidi" w:cstheme="majorBidi"/>
          <w:b/>
          <w:bCs/>
          <w:sz w:val="32"/>
          <w:szCs w:val="32"/>
          <w:u w:val="single"/>
          <w:rtl/>
          <w:lang w:bidi="ar-IQ"/>
        </w:rPr>
        <w:t xml:space="preserve">المحاضرة </w:t>
      </w:r>
      <w:r w:rsidR="001C074A" w:rsidRPr="009019E8">
        <w:rPr>
          <w:rFonts w:asciiTheme="majorBidi" w:hAnsiTheme="majorBidi" w:cstheme="majorBidi"/>
          <w:b/>
          <w:bCs/>
          <w:sz w:val="32"/>
          <w:szCs w:val="32"/>
          <w:u w:val="single"/>
          <w:rtl/>
          <w:lang w:bidi="ar-IQ"/>
        </w:rPr>
        <w:t>الثالثة</w:t>
      </w:r>
    </w:p>
    <w:p w14:paraId="26225AAB" w14:textId="77777777" w:rsidR="00ED4EFA" w:rsidRPr="009019E8" w:rsidRDefault="00ED4EFA" w:rsidP="009019E8">
      <w:pPr>
        <w:spacing w:after="0" w:line="240" w:lineRule="auto"/>
        <w:rPr>
          <w:rFonts w:asciiTheme="majorBidi" w:hAnsiTheme="majorBidi" w:cstheme="majorBidi"/>
          <w:b/>
          <w:bCs/>
          <w:sz w:val="32"/>
          <w:szCs w:val="32"/>
          <w:u w:val="single"/>
          <w:rtl/>
          <w:lang w:bidi="ar-IQ"/>
        </w:rPr>
      </w:pPr>
    </w:p>
    <w:p w14:paraId="5772B77D" w14:textId="14405BFA" w:rsidR="00CD51EB" w:rsidRPr="009019E8" w:rsidRDefault="00CE0192" w:rsidP="009019E8">
      <w:pPr>
        <w:spacing w:after="0" w:line="240" w:lineRule="auto"/>
        <w:jc w:val="center"/>
        <w:rPr>
          <w:rFonts w:asciiTheme="majorBidi" w:hAnsiTheme="majorBidi" w:cstheme="majorBidi"/>
          <w:b/>
          <w:bCs/>
          <w:sz w:val="32"/>
          <w:szCs w:val="32"/>
          <w:rtl/>
          <w:lang w:bidi="ar-IQ"/>
        </w:rPr>
      </w:pPr>
      <w:r w:rsidRPr="009019E8">
        <w:rPr>
          <w:rFonts w:asciiTheme="majorBidi" w:hAnsiTheme="majorBidi" w:cstheme="majorBidi"/>
          <w:b/>
          <w:bCs/>
          <w:sz w:val="32"/>
          <w:szCs w:val="32"/>
          <w:rtl/>
          <w:lang w:bidi="ar-IQ"/>
        </w:rPr>
        <w:t>ملامح المقاربة في التراث العربي</w:t>
      </w:r>
    </w:p>
    <w:p w14:paraId="14B819AC" w14:textId="77777777" w:rsidR="00857BAB" w:rsidRPr="009019E8" w:rsidRDefault="00857BAB" w:rsidP="009019E8">
      <w:pPr>
        <w:pStyle w:val="a5"/>
        <w:bidi/>
        <w:spacing w:after="0" w:afterAutospacing="0"/>
        <w:jc w:val="both"/>
        <w:rPr>
          <w:rFonts w:asciiTheme="majorBidi" w:hAnsiTheme="majorBidi" w:cstheme="majorBidi"/>
          <w:b/>
          <w:bCs/>
          <w:color w:val="111111"/>
          <w:sz w:val="28"/>
          <w:szCs w:val="28"/>
          <w:rtl/>
          <w:lang w:bidi="ar-IQ"/>
        </w:rPr>
      </w:pPr>
    </w:p>
    <w:p w14:paraId="4C64FF88" w14:textId="02766B44" w:rsidR="009019E8" w:rsidRDefault="00CD51EB" w:rsidP="009019E8">
      <w:pPr>
        <w:pStyle w:val="a5"/>
        <w:bidi/>
        <w:spacing w:after="0" w:afterAutospacing="0"/>
        <w:jc w:val="both"/>
        <w:rPr>
          <w:rFonts w:asciiTheme="majorBidi" w:hAnsiTheme="majorBidi" w:cstheme="majorBidi"/>
          <w:color w:val="111111"/>
          <w:sz w:val="28"/>
          <w:szCs w:val="28"/>
          <w:rtl/>
        </w:rPr>
      </w:pPr>
      <w:r w:rsidRPr="009019E8">
        <w:rPr>
          <w:rFonts w:asciiTheme="majorBidi" w:hAnsiTheme="majorBidi" w:cstheme="majorBidi"/>
          <w:color w:val="111111"/>
          <w:sz w:val="28"/>
          <w:szCs w:val="28"/>
          <w:rtl/>
        </w:rPr>
        <w:t xml:space="preserve">لقد عرف الأدب العربي – شعرا ونثرا – ظاهرة التأثير والتأثر منذ ظهوره، كما استخدم الأدباء كلمات أجنبية فارسية وإغريقية، وذلك لاختلاط العرب بغيرهم من الشعوب، لكن لم يتطرق المؤرخون القدامى لتبادل النصوص والاستعارات ولا لكيفية انتقالها. غير أن الجاحظ (ت 253هـ-867م) كان قد تحدث في كتاب </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xml:space="preserve">البيان </w:t>
      </w:r>
      <w:proofErr w:type="spellStart"/>
      <w:r w:rsidRPr="009019E8">
        <w:rPr>
          <w:rFonts w:asciiTheme="majorBidi" w:hAnsiTheme="majorBidi" w:cstheme="majorBidi"/>
          <w:color w:val="111111"/>
          <w:sz w:val="28"/>
          <w:szCs w:val="28"/>
          <w:rtl/>
        </w:rPr>
        <w:t>والتبيين</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عن</w:t>
      </w:r>
      <w:proofErr w:type="spellEnd"/>
      <w:r w:rsidRPr="009019E8">
        <w:rPr>
          <w:rFonts w:asciiTheme="majorBidi" w:hAnsiTheme="majorBidi" w:cstheme="majorBidi"/>
          <w:color w:val="111111"/>
          <w:sz w:val="28"/>
          <w:szCs w:val="28"/>
          <w:rtl/>
        </w:rPr>
        <w:t xml:space="preserve"> بلاغة الفرس والهند والروم ويقصد الإغريق</w:t>
      </w:r>
      <w:r w:rsidR="009019E8">
        <w:rPr>
          <w:rFonts w:asciiTheme="majorBidi" w:hAnsiTheme="majorBidi" w:cstheme="majorBidi" w:hint="cs"/>
          <w:color w:val="111111"/>
          <w:sz w:val="28"/>
          <w:szCs w:val="28"/>
          <w:rtl/>
        </w:rPr>
        <w:t>.</w:t>
      </w:r>
    </w:p>
    <w:p w14:paraId="64ED1977" w14:textId="0108DF23" w:rsidR="00C71B03" w:rsidRPr="009019E8" w:rsidRDefault="00CD51EB" w:rsidP="009019E8">
      <w:pPr>
        <w:pStyle w:val="a5"/>
        <w:bidi/>
        <w:spacing w:after="0" w:afterAutospacing="0"/>
        <w:jc w:val="both"/>
        <w:rPr>
          <w:rFonts w:asciiTheme="majorBidi" w:hAnsiTheme="majorBidi" w:cstheme="majorBidi"/>
          <w:color w:val="111111"/>
          <w:sz w:val="28"/>
          <w:szCs w:val="28"/>
          <w:rtl/>
        </w:rPr>
      </w:pPr>
      <w:r w:rsidRPr="009019E8">
        <w:rPr>
          <w:rFonts w:asciiTheme="majorBidi" w:hAnsiTheme="majorBidi" w:cstheme="majorBidi"/>
          <w:color w:val="111111"/>
          <w:sz w:val="28"/>
          <w:szCs w:val="28"/>
          <w:rtl/>
        </w:rPr>
        <w:t xml:space="preserve"> وأشار إلى بعض الخصائص المشتركة بينها وبين بلاغة العر</w:t>
      </w:r>
      <w:r w:rsidR="00857BAB" w:rsidRPr="009019E8">
        <w:rPr>
          <w:rFonts w:asciiTheme="majorBidi" w:hAnsiTheme="majorBidi" w:cstheme="majorBidi"/>
          <w:color w:val="111111"/>
          <w:sz w:val="28"/>
          <w:szCs w:val="28"/>
          <w:rtl/>
        </w:rPr>
        <w:t xml:space="preserve">ب، لكن </w:t>
      </w:r>
      <w:r w:rsidRPr="009019E8">
        <w:rPr>
          <w:rFonts w:asciiTheme="majorBidi" w:hAnsiTheme="majorBidi" w:cstheme="majorBidi"/>
          <w:color w:val="111111"/>
          <w:sz w:val="28"/>
          <w:szCs w:val="28"/>
          <w:rtl/>
        </w:rPr>
        <w:t>مقارنات الجاحظ بين آداب الأمم الأربعة الكبرى في عصره، لم تكن مبنية على منهج بل اعتمدت على أفكار ذاتية أكثر منها موضوعية</w:t>
      </w:r>
      <w:r w:rsidRPr="009019E8">
        <w:rPr>
          <w:rFonts w:asciiTheme="majorBidi" w:hAnsiTheme="majorBidi" w:cstheme="majorBidi"/>
          <w:color w:val="111111"/>
          <w:sz w:val="28"/>
          <w:szCs w:val="28"/>
        </w:rPr>
        <w:t>.</w:t>
      </w:r>
    </w:p>
    <w:p w14:paraId="3467ECC0" w14:textId="08CB322D" w:rsidR="00C71B03" w:rsidRPr="009019E8" w:rsidRDefault="00CD51EB" w:rsidP="009019E8">
      <w:pPr>
        <w:pStyle w:val="a5"/>
        <w:bidi/>
        <w:spacing w:before="0" w:beforeAutospacing="0" w:after="0" w:afterAutospacing="0"/>
        <w:jc w:val="both"/>
        <w:rPr>
          <w:rFonts w:asciiTheme="majorBidi" w:hAnsiTheme="majorBidi" w:cstheme="majorBidi"/>
          <w:color w:val="111111"/>
          <w:sz w:val="28"/>
          <w:szCs w:val="28"/>
          <w:rtl/>
        </w:rPr>
      </w:pPr>
      <w:r w:rsidRPr="009019E8">
        <w:rPr>
          <w:rFonts w:asciiTheme="majorBidi" w:hAnsiTheme="majorBidi" w:cstheme="majorBidi"/>
          <w:color w:val="111111"/>
          <w:sz w:val="28"/>
          <w:szCs w:val="28"/>
        </w:rPr>
        <w:br/>
      </w:r>
      <w:r w:rsidRPr="009019E8">
        <w:rPr>
          <w:rFonts w:asciiTheme="majorBidi" w:hAnsiTheme="majorBidi" w:cstheme="majorBidi"/>
          <w:color w:val="111111"/>
          <w:sz w:val="28"/>
          <w:szCs w:val="28"/>
          <w:rtl/>
        </w:rPr>
        <w:t>كما قارن الجاحظ بين الشعر الفارسي والشعر الإغريقي والشعر العربي فوجدها تختلف من حيث الإيقاع والقافي</w:t>
      </w:r>
      <w:r w:rsidR="00857BAB" w:rsidRPr="009019E8">
        <w:rPr>
          <w:rFonts w:asciiTheme="majorBidi" w:hAnsiTheme="majorBidi" w:cstheme="majorBidi"/>
          <w:color w:val="111111"/>
          <w:sz w:val="28"/>
          <w:szCs w:val="28"/>
          <w:rtl/>
        </w:rPr>
        <w:t>ة</w:t>
      </w:r>
      <w:r w:rsidR="00857BAB" w:rsidRPr="009019E8">
        <w:rPr>
          <w:rFonts w:asciiTheme="majorBidi" w:hAnsiTheme="majorBidi" w:cstheme="majorBidi"/>
          <w:color w:val="111111"/>
          <w:sz w:val="28"/>
          <w:szCs w:val="28"/>
          <w:vertAlign w:val="superscript"/>
          <w:rtl/>
        </w:rPr>
        <w:t>،</w:t>
      </w:r>
      <w:r w:rsidRPr="009019E8">
        <w:rPr>
          <w:rFonts w:asciiTheme="majorBidi" w:hAnsiTheme="majorBidi" w:cstheme="majorBidi"/>
          <w:color w:val="111111"/>
          <w:sz w:val="28"/>
          <w:szCs w:val="28"/>
          <w:rtl/>
        </w:rPr>
        <w:t xml:space="preserve"> وهذا يعني أن الجاحظ كان على دراية بهذه اللغات، ولم يصلنا أي كتاب قبل عصره تعرض بالدرس لقصائد مختلفة اللغة. لقد استحسن الجاحظ بلاغة الأمم الكبرى واستهجن البعض الآخر، ولكنه لما قام بهذه المقارنات لم يكن معاديا للثقافات الأجنبية، ولم نلتمس شيئا</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xml:space="preserve"> من الاستعلاء في آرائه</w:t>
      </w:r>
      <w:r w:rsidRPr="009019E8">
        <w:rPr>
          <w:rFonts w:asciiTheme="majorBidi" w:hAnsiTheme="majorBidi" w:cstheme="majorBidi"/>
          <w:color w:val="111111"/>
          <w:sz w:val="28"/>
          <w:szCs w:val="28"/>
        </w:rPr>
        <w:t>.</w:t>
      </w:r>
    </w:p>
    <w:p w14:paraId="0AF2DC4C" w14:textId="77777777" w:rsidR="009019E8" w:rsidRDefault="009019E8" w:rsidP="009019E8">
      <w:pPr>
        <w:pStyle w:val="a5"/>
        <w:bidi/>
        <w:spacing w:before="0" w:beforeAutospacing="0" w:after="0" w:afterAutospacing="0"/>
        <w:jc w:val="both"/>
        <w:rPr>
          <w:rFonts w:asciiTheme="majorBidi" w:hAnsiTheme="majorBidi" w:cstheme="majorBidi"/>
          <w:color w:val="111111"/>
          <w:sz w:val="28"/>
          <w:szCs w:val="28"/>
          <w:rtl/>
          <w:lang w:bidi="ar-IQ"/>
        </w:rPr>
      </w:pPr>
    </w:p>
    <w:p w14:paraId="1B8789F2" w14:textId="76508B09" w:rsidR="00857BAB" w:rsidRPr="009019E8" w:rsidRDefault="00CD51EB" w:rsidP="009019E8">
      <w:pPr>
        <w:pStyle w:val="a5"/>
        <w:bidi/>
        <w:spacing w:after="0" w:afterAutospacing="0"/>
        <w:jc w:val="both"/>
        <w:rPr>
          <w:rFonts w:asciiTheme="majorBidi" w:hAnsiTheme="majorBidi" w:cstheme="majorBidi"/>
          <w:color w:val="111111"/>
          <w:sz w:val="28"/>
          <w:szCs w:val="28"/>
          <w:vertAlign w:val="superscript"/>
          <w:rtl/>
        </w:rPr>
      </w:pPr>
      <w:r w:rsidRPr="009019E8">
        <w:rPr>
          <w:rFonts w:asciiTheme="majorBidi" w:hAnsiTheme="majorBidi" w:cstheme="majorBidi"/>
          <w:color w:val="111111"/>
          <w:sz w:val="28"/>
          <w:szCs w:val="28"/>
          <w:rtl/>
        </w:rPr>
        <w:t xml:space="preserve">ومن جهة أخرى، تحدث الجاحظ عن صورة الفرس في كتاب </w:t>
      </w:r>
      <w:r w:rsidR="00857BAB" w:rsidRPr="009019E8">
        <w:rPr>
          <w:rFonts w:asciiTheme="majorBidi" w:hAnsiTheme="majorBidi" w:cstheme="majorBidi"/>
          <w:color w:val="111111"/>
          <w:sz w:val="28"/>
          <w:szCs w:val="28"/>
          <w:rtl/>
        </w:rPr>
        <w:t>"البخلاء"،</w:t>
      </w:r>
      <w:r w:rsidRPr="009019E8">
        <w:rPr>
          <w:rFonts w:asciiTheme="majorBidi" w:hAnsiTheme="majorBidi" w:cstheme="majorBidi"/>
          <w:color w:val="111111"/>
          <w:sz w:val="28"/>
          <w:szCs w:val="28"/>
          <w:rtl/>
        </w:rPr>
        <w:t xml:space="preserve"> الذي يعتبر من أقدم الكتب التي كان لها رأي في الآخر، أو ما يسمى بالصورة الأدبية. ولم يقصد الجاحظ ذم العنصر الفارسي، بل ذكر أيضا محاسنهم، كما تحدث كذلك عن البخلاء من العرب في عصر</w:t>
      </w:r>
      <w:r w:rsidR="00857BAB" w:rsidRPr="009019E8">
        <w:rPr>
          <w:rFonts w:asciiTheme="majorBidi" w:hAnsiTheme="majorBidi" w:cstheme="majorBidi"/>
          <w:color w:val="111111"/>
          <w:sz w:val="28"/>
          <w:szCs w:val="28"/>
          <w:rtl/>
        </w:rPr>
        <w:t>ه.</w:t>
      </w:r>
    </w:p>
    <w:p w14:paraId="76ED01BB" w14:textId="682E6C7D" w:rsidR="00857BAB" w:rsidRPr="009019E8" w:rsidRDefault="00CD51EB" w:rsidP="009019E8">
      <w:pPr>
        <w:pStyle w:val="a5"/>
        <w:bidi/>
        <w:spacing w:after="0" w:afterAutospacing="0"/>
        <w:jc w:val="both"/>
        <w:rPr>
          <w:rFonts w:asciiTheme="majorBidi" w:hAnsiTheme="majorBidi" w:cstheme="majorBidi"/>
          <w:color w:val="111111"/>
          <w:sz w:val="28"/>
          <w:szCs w:val="28"/>
          <w:vertAlign w:val="superscript"/>
          <w:rtl/>
        </w:rPr>
      </w:pPr>
      <w:r w:rsidRPr="009019E8">
        <w:rPr>
          <w:rFonts w:asciiTheme="majorBidi" w:hAnsiTheme="majorBidi" w:cstheme="majorBidi"/>
          <w:color w:val="111111"/>
          <w:sz w:val="28"/>
          <w:szCs w:val="28"/>
        </w:rPr>
        <w:br/>
      </w:r>
      <w:r w:rsidRPr="009019E8">
        <w:rPr>
          <w:rFonts w:asciiTheme="majorBidi" w:hAnsiTheme="majorBidi" w:cstheme="majorBidi"/>
          <w:color w:val="111111"/>
          <w:sz w:val="28"/>
          <w:szCs w:val="28"/>
          <w:rtl/>
        </w:rPr>
        <w:t xml:space="preserve">وفي مجال آخر، ذهب الجاحظ في كتاب </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الحيوان </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xml:space="preserve"> إلى أن الشعر لا يجب ترجمته وإلا ذهب حسنه وأصبح كلاما عاديا، بخلاف النثر الذي يمكن ترجمته دون أن يفقد شيئا من حقائق</w:t>
      </w:r>
      <w:r w:rsidR="00857BAB" w:rsidRPr="009019E8">
        <w:rPr>
          <w:rFonts w:asciiTheme="majorBidi" w:hAnsiTheme="majorBidi" w:cstheme="majorBidi"/>
          <w:color w:val="111111"/>
          <w:sz w:val="28"/>
          <w:szCs w:val="28"/>
          <w:rtl/>
        </w:rPr>
        <w:t>ه،</w:t>
      </w:r>
      <w:r w:rsidRPr="009019E8">
        <w:rPr>
          <w:rFonts w:asciiTheme="majorBidi" w:hAnsiTheme="majorBidi" w:cstheme="majorBidi"/>
          <w:color w:val="111111"/>
          <w:sz w:val="28"/>
          <w:szCs w:val="28"/>
          <w:rtl/>
        </w:rPr>
        <w:t xml:space="preserve"> لقد تحدث الجاحظ عن صعوبة ترجمة الشعر العربي، وعن شرائط الترجمان فقال: </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ولا بد للترجمان من أن يكون بيانه في نفس الترجمة، في وزن علمه في نفس المعرفة، وينبغي أن يكون أعلم الناس باللغة المنقولة والمنقول إليها، حتى يكون فيهما سواء وغاية، ومتى وجدناه أيضا قد تكلم بلسانين، علمنا أنه قد أدخل الضيم عليهما</w:t>
      </w:r>
      <w:r w:rsidRPr="009019E8">
        <w:rPr>
          <w:rFonts w:asciiTheme="majorBidi" w:hAnsiTheme="majorBidi" w:cstheme="majorBidi"/>
          <w:color w:val="111111"/>
          <w:sz w:val="28"/>
          <w:szCs w:val="28"/>
        </w:rPr>
        <w:t> </w:t>
      </w:r>
      <w:r w:rsidR="00C71B03" w:rsidRPr="009019E8">
        <w:rPr>
          <w:rFonts w:asciiTheme="majorBidi" w:hAnsiTheme="majorBidi" w:cstheme="majorBidi"/>
          <w:color w:val="111111"/>
          <w:sz w:val="28"/>
          <w:szCs w:val="28"/>
          <w:rtl/>
        </w:rPr>
        <w:t xml:space="preserve"> </w:t>
      </w:r>
      <w:r w:rsidRPr="009019E8">
        <w:rPr>
          <w:rFonts w:asciiTheme="majorBidi" w:hAnsiTheme="majorBidi" w:cstheme="majorBidi"/>
          <w:color w:val="111111"/>
          <w:sz w:val="28"/>
          <w:szCs w:val="28"/>
          <w:rtl/>
        </w:rPr>
        <w:t>وبهذا، يكون الجاحظ أول من عني بمشاكل الترجمة، وهو أيضا</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xml:space="preserve"> أول من دعا إلى قراءة الشعر في لغته الأصلية</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Pr>
        <w:t>.</w:t>
      </w:r>
    </w:p>
    <w:p w14:paraId="30A25DB9" w14:textId="77777777" w:rsidR="009019E8" w:rsidRDefault="00CD51EB" w:rsidP="009019E8">
      <w:pPr>
        <w:pStyle w:val="a5"/>
        <w:bidi/>
        <w:spacing w:before="0" w:beforeAutospacing="0" w:after="0" w:afterAutospacing="0"/>
        <w:jc w:val="both"/>
        <w:rPr>
          <w:rFonts w:asciiTheme="majorBidi" w:hAnsiTheme="majorBidi" w:cstheme="majorBidi"/>
          <w:color w:val="111111"/>
          <w:sz w:val="28"/>
          <w:szCs w:val="28"/>
          <w:rtl/>
        </w:rPr>
      </w:pPr>
      <w:r w:rsidRPr="009019E8">
        <w:rPr>
          <w:rFonts w:asciiTheme="majorBidi" w:hAnsiTheme="majorBidi" w:cstheme="majorBidi"/>
          <w:color w:val="111111"/>
          <w:sz w:val="28"/>
          <w:szCs w:val="28"/>
        </w:rPr>
        <w:br/>
      </w:r>
      <w:r w:rsidRPr="009019E8">
        <w:rPr>
          <w:rFonts w:asciiTheme="majorBidi" w:hAnsiTheme="majorBidi" w:cstheme="majorBidi"/>
          <w:color w:val="111111"/>
          <w:sz w:val="28"/>
          <w:szCs w:val="28"/>
          <w:rtl/>
        </w:rPr>
        <w:t xml:space="preserve">وبعد ذلك، يجب على الدارس العربي الرجوع إلى كتب الجاحظ التي ذكرناها آنفا، لمعرفة مدى اهتمام العرب القدامى، ليس فقط باللغات الأجنبية ومشاكل الترجمة، وإنما بالمادة أيضا كما هو الحال عند الجاحظ الذي يعد أول من قارن بين بلاغات الأمم الكبرى في عصره، وهم العرب والفرس والهند والروم أي الإغريق. وبهذا يكون الجاحظ قد سبق رواد الأدب المقارن بألف عام. </w:t>
      </w:r>
    </w:p>
    <w:p w14:paraId="6ED094E4" w14:textId="77777777" w:rsidR="009019E8" w:rsidRDefault="009019E8" w:rsidP="009019E8">
      <w:pPr>
        <w:pStyle w:val="a5"/>
        <w:bidi/>
        <w:spacing w:before="0" w:beforeAutospacing="0" w:after="0" w:afterAutospacing="0"/>
        <w:jc w:val="both"/>
        <w:rPr>
          <w:rFonts w:asciiTheme="majorBidi" w:hAnsiTheme="majorBidi" w:cstheme="majorBidi"/>
          <w:color w:val="111111"/>
          <w:sz w:val="28"/>
          <w:szCs w:val="28"/>
          <w:rtl/>
        </w:rPr>
      </w:pPr>
    </w:p>
    <w:p w14:paraId="0C299A2A" w14:textId="75316045" w:rsidR="00CD51EB" w:rsidRPr="009019E8" w:rsidRDefault="00CD51EB" w:rsidP="009019E8">
      <w:pPr>
        <w:pStyle w:val="a5"/>
        <w:bidi/>
        <w:spacing w:before="0" w:beforeAutospacing="0" w:after="0" w:afterAutospacing="0"/>
        <w:jc w:val="both"/>
        <w:rPr>
          <w:rFonts w:asciiTheme="majorBidi" w:hAnsiTheme="majorBidi" w:cstheme="majorBidi"/>
          <w:color w:val="111111"/>
          <w:sz w:val="28"/>
          <w:szCs w:val="28"/>
          <w:rtl/>
        </w:rPr>
      </w:pPr>
      <w:r w:rsidRPr="009019E8">
        <w:rPr>
          <w:rFonts w:asciiTheme="majorBidi" w:hAnsiTheme="majorBidi" w:cstheme="majorBidi"/>
          <w:color w:val="111111"/>
          <w:sz w:val="28"/>
          <w:szCs w:val="28"/>
          <w:rtl/>
        </w:rPr>
        <w:t xml:space="preserve">أما ابن الأثير الكاتب (ت 637هـ-1239م)، فهو أيضا تحدث في كاتبه </w:t>
      </w:r>
      <w:r w:rsidR="009019E8">
        <w:rPr>
          <w:rFonts w:asciiTheme="majorBidi" w:hAnsiTheme="majorBidi" w:cstheme="majorBidi" w:hint="cs"/>
          <w:color w:val="111111"/>
          <w:sz w:val="28"/>
          <w:szCs w:val="28"/>
          <w:rtl/>
        </w:rPr>
        <w:t>"</w:t>
      </w:r>
      <w:r w:rsidR="00857BAB" w:rsidRPr="009019E8">
        <w:rPr>
          <w:rFonts w:asciiTheme="majorBidi" w:hAnsiTheme="majorBidi" w:cstheme="majorBidi"/>
          <w:color w:val="111111"/>
          <w:sz w:val="28"/>
          <w:szCs w:val="28"/>
          <w:rtl/>
        </w:rPr>
        <w:t>المثل</w:t>
      </w:r>
      <w:r w:rsidRPr="009019E8">
        <w:rPr>
          <w:rFonts w:asciiTheme="majorBidi" w:hAnsiTheme="majorBidi" w:cstheme="majorBidi"/>
          <w:color w:val="111111"/>
          <w:sz w:val="28"/>
          <w:szCs w:val="28"/>
          <w:rtl/>
        </w:rPr>
        <w:t xml:space="preserve"> </w:t>
      </w:r>
      <w:r w:rsidR="00857BAB" w:rsidRPr="009019E8">
        <w:rPr>
          <w:rFonts w:asciiTheme="majorBidi" w:hAnsiTheme="majorBidi" w:cstheme="majorBidi"/>
          <w:color w:val="111111"/>
          <w:sz w:val="28"/>
          <w:szCs w:val="28"/>
          <w:rtl/>
        </w:rPr>
        <w:t>السائر</w:t>
      </w:r>
      <w:r w:rsidR="009019E8">
        <w:rPr>
          <w:rFonts w:asciiTheme="majorBidi" w:hAnsiTheme="majorBidi" w:cstheme="majorBidi" w:hint="cs"/>
          <w:color w:val="111111"/>
          <w:sz w:val="28"/>
          <w:szCs w:val="28"/>
          <w:rtl/>
        </w:rPr>
        <w:t>"</w:t>
      </w:r>
      <w:r w:rsidRPr="009019E8">
        <w:rPr>
          <w:rFonts w:asciiTheme="majorBidi" w:hAnsiTheme="majorBidi" w:cstheme="majorBidi"/>
          <w:color w:val="111111"/>
          <w:sz w:val="28"/>
          <w:szCs w:val="28"/>
          <w:rtl/>
        </w:rPr>
        <w:t xml:space="preserve"> عن المعاني الخطابية عند أدباء اليونان </w:t>
      </w:r>
      <w:r w:rsidR="00857BAB" w:rsidRPr="009019E8">
        <w:rPr>
          <w:rFonts w:asciiTheme="majorBidi" w:hAnsiTheme="majorBidi" w:cstheme="majorBidi"/>
          <w:color w:val="111111"/>
          <w:sz w:val="28"/>
          <w:szCs w:val="28"/>
          <w:rtl/>
        </w:rPr>
        <w:t>والعرب</w:t>
      </w:r>
      <w:r w:rsidR="00857BAB" w:rsidRPr="009019E8">
        <w:rPr>
          <w:rFonts w:asciiTheme="majorBidi" w:hAnsiTheme="majorBidi" w:cstheme="majorBidi"/>
          <w:color w:val="111111"/>
          <w:sz w:val="28"/>
          <w:szCs w:val="28"/>
          <w:vertAlign w:val="superscript"/>
          <w:rtl/>
        </w:rPr>
        <w:t xml:space="preserve"> </w:t>
      </w:r>
      <w:r w:rsidRPr="009019E8">
        <w:rPr>
          <w:rFonts w:asciiTheme="majorBidi" w:hAnsiTheme="majorBidi" w:cstheme="majorBidi"/>
          <w:color w:val="111111"/>
          <w:sz w:val="28"/>
          <w:szCs w:val="28"/>
          <w:rtl/>
        </w:rPr>
        <w:t xml:space="preserve">كما أشار إلى الفروق بين الشعر العربي والفارسي من </w:t>
      </w:r>
      <w:r w:rsidR="00C71B03" w:rsidRPr="009019E8">
        <w:rPr>
          <w:rFonts w:asciiTheme="majorBidi" w:hAnsiTheme="majorBidi" w:cstheme="majorBidi"/>
          <w:color w:val="111111"/>
          <w:sz w:val="28"/>
          <w:szCs w:val="28"/>
          <w:rtl/>
        </w:rPr>
        <w:t>ناحية</w:t>
      </w:r>
      <w:r w:rsidRPr="009019E8">
        <w:rPr>
          <w:rFonts w:asciiTheme="majorBidi" w:hAnsiTheme="majorBidi" w:cstheme="majorBidi"/>
          <w:color w:val="111111"/>
          <w:sz w:val="28"/>
          <w:szCs w:val="28"/>
          <w:rtl/>
        </w:rPr>
        <w:t xml:space="preserve"> الطول والقص</w:t>
      </w:r>
      <w:r w:rsidR="00857BAB" w:rsidRPr="009019E8">
        <w:rPr>
          <w:rFonts w:asciiTheme="majorBidi" w:hAnsiTheme="majorBidi" w:cstheme="majorBidi"/>
          <w:color w:val="111111"/>
          <w:sz w:val="28"/>
          <w:szCs w:val="28"/>
          <w:rtl/>
        </w:rPr>
        <w:t>ر.</w:t>
      </w:r>
    </w:p>
    <w:p w14:paraId="0516A626" w14:textId="77777777" w:rsidR="009019E8" w:rsidRDefault="009019E8" w:rsidP="009019E8">
      <w:pPr>
        <w:spacing w:after="0" w:line="240" w:lineRule="auto"/>
        <w:jc w:val="both"/>
        <w:rPr>
          <w:rFonts w:asciiTheme="majorBidi" w:hAnsiTheme="majorBidi" w:cs="Times New Roman"/>
          <w:sz w:val="28"/>
          <w:szCs w:val="28"/>
          <w:rtl/>
        </w:rPr>
      </w:pPr>
    </w:p>
    <w:p w14:paraId="368C8282" w14:textId="3AA7F6F9" w:rsidR="009019E8" w:rsidRPr="009019E8" w:rsidRDefault="009019E8" w:rsidP="009019E8">
      <w:pPr>
        <w:spacing w:after="0" w:line="240" w:lineRule="auto"/>
        <w:jc w:val="both"/>
        <w:rPr>
          <w:rFonts w:asciiTheme="majorBidi" w:hAnsiTheme="majorBidi" w:cstheme="majorBidi"/>
          <w:sz w:val="28"/>
          <w:szCs w:val="28"/>
          <w:rtl/>
        </w:rPr>
      </w:pPr>
      <w:r>
        <w:rPr>
          <w:rFonts w:asciiTheme="majorBidi" w:hAnsiTheme="majorBidi" w:cs="Times New Roman" w:hint="cs"/>
          <w:sz w:val="28"/>
          <w:szCs w:val="28"/>
          <w:rtl/>
        </w:rPr>
        <w:t>و</w:t>
      </w:r>
      <w:r w:rsidRPr="009019E8">
        <w:rPr>
          <w:rFonts w:asciiTheme="majorBidi" w:hAnsiTheme="majorBidi" w:cs="Times New Roman"/>
          <w:sz w:val="28"/>
          <w:szCs w:val="28"/>
          <w:rtl/>
        </w:rPr>
        <w:t xml:space="preserve">لقد عرف الأدب العربي الموازنة منذ أن وجد، كما عرف أيضا المحاكم والأسواق الكلامية منذ العصر الجاهلي، وقد تطورت هذه الموازنات في الأدب العربي وألفت فيها الكتب. ومن أشهرها </w:t>
      </w:r>
      <w:r>
        <w:rPr>
          <w:rFonts w:asciiTheme="majorBidi" w:hAnsiTheme="majorBidi" w:cs="Times New Roman" w:hint="cs"/>
          <w:sz w:val="28"/>
          <w:szCs w:val="28"/>
          <w:rtl/>
        </w:rPr>
        <w:t>"</w:t>
      </w:r>
      <w:r w:rsidRPr="009019E8">
        <w:rPr>
          <w:rFonts w:asciiTheme="majorBidi" w:hAnsiTheme="majorBidi" w:cs="Times New Roman"/>
          <w:sz w:val="28"/>
          <w:szCs w:val="28"/>
          <w:rtl/>
        </w:rPr>
        <w:t xml:space="preserve">الوساطة بين </w:t>
      </w:r>
      <w:r w:rsidRPr="009019E8">
        <w:rPr>
          <w:rFonts w:asciiTheme="majorBidi" w:hAnsiTheme="majorBidi" w:cs="Times New Roman"/>
          <w:sz w:val="28"/>
          <w:szCs w:val="28"/>
          <w:rtl/>
        </w:rPr>
        <w:lastRenderedPageBreak/>
        <w:t>المتنبي وخصومه</w:t>
      </w:r>
      <w:r>
        <w:rPr>
          <w:rFonts w:asciiTheme="majorBidi" w:hAnsiTheme="majorBidi" w:cs="Times New Roman" w:hint="cs"/>
          <w:sz w:val="28"/>
          <w:szCs w:val="28"/>
          <w:rtl/>
        </w:rPr>
        <w:t xml:space="preserve">" </w:t>
      </w:r>
      <w:r w:rsidRPr="009019E8">
        <w:rPr>
          <w:rFonts w:asciiTheme="majorBidi" w:hAnsiTheme="majorBidi" w:cs="Times New Roman"/>
          <w:sz w:val="28"/>
          <w:szCs w:val="28"/>
          <w:rtl/>
        </w:rPr>
        <w:t xml:space="preserve">للقاضي الجرجاني (ت 152هـ-769م)، و </w:t>
      </w:r>
      <w:r>
        <w:rPr>
          <w:rFonts w:asciiTheme="majorBidi" w:hAnsiTheme="majorBidi" w:cs="Times New Roman" w:hint="cs"/>
          <w:sz w:val="28"/>
          <w:szCs w:val="28"/>
          <w:rtl/>
        </w:rPr>
        <w:t>"</w:t>
      </w:r>
      <w:r w:rsidRPr="009019E8">
        <w:rPr>
          <w:rFonts w:asciiTheme="majorBidi" w:hAnsiTheme="majorBidi" w:cs="Times New Roman"/>
          <w:sz w:val="28"/>
          <w:szCs w:val="28"/>
          <w:rtl/>
        </w:rPr>
        <w:t>الموازنة بين شعر أبي تمام والبحتري</w:t>
      </w:r>
      <w:r>
        <w:rPr>
          <w:rFonts w:asciiTheme="majorBidi" w:hAnsiTheme="majorBidi" w:cs="Times New Roman" w:hint="cs"/>
          <w:sz w:val="28"/>
          <w:szCs w:val="28"/>
          <w:rtl/>
        </w:rPr>
        <w:t>"</w:t>
      </w:r>
      <w:r w:rsidRPr="009019E8">
        <w:rPr>
          <w:rFonts w:asciiTheme="majorBidi" w:hAnsiTheme="majorBidi" w:cs="Times New Roman"/>
          <w:sz w:val="28"/>
          <w:szCs w:val="28"/>
          <w:rtl/>
        </w:rPr>
        <w:t xml:space="preserve"> للآمدي (ت 370هـ-981م)</w:t>
      </w:r>
      <w:r>
        <w:rPr>
          <w:rFonts w:asciiTheme="majorBidi" w:hAnsiTheme="majorBidi" w:cs="Times New Roman" w:hint="cs"/>
          <w:sz w:val="28"/>
          <w:szCs w:val="28"/>
          <w:rtl/>
        </w:rPr>
        <w:t>.</w:t>
      </w:r>
    </w:p>
    <w:p w14:paraId="47777630" w14:textId="77777777" w:rsidR="009019E8" w:rsidRPr="009019E8" w:rsidRDefault="009019E8" w:rsidP="009019E8">
      <w:pPr>
        <w:spacing w:after="0" w:line="240" w:lineRule="auto"/>
        <w:jc w:val="both"/>
        <w:rPr>
          <w:rFonts w:asciiTheme="majorBidi" w:hAnsiTheme="majorBidi" w:cstheme="majorBidi"/>
          <w:sz w:val="28"/>
          <w:szCs w:val="28"/>
          <w:rtl/>
        </w:rPr>
      </w:pPr>
      <w:r w:rsidRPr="009019E8">
        <w:rPr>
          <w:rFonts w:asciiTheme="majorBidi" w:hAnsiTheme="majorBidi" w:cs="Times New Roman"/>
          <w:sz w:val="28"/>
          <w:szCs w:val="28"/>
          <w:rtl/>
        </w:rPr>
        <w:t>فالجرجاني أراد التوسط بين المتنبي وخصومه، وأما الآمدي فقد قصد المفاضلة بين البحتري وأبي تمام، غير أن هذه الموازنات كانت ذات طابع جمالي بحت ولم تتطرق إلى ظاهرة التأثير والتأثر. ولعل أبرز ما أدت إليه هو الحديث عن الأصالة، وهذه الفكرة لم يعرفها النقد الأوربي الحديث إلا في أواخر القرن التاسع عشر، وهو البحث عمن سبق إلى الفكرة من الشاعرين حينما يوظفان الأسلوب نفسه أو المعنى نفسه.</w:t>
      </w:r>
    </w:p>
    <w:p w14:paraId="075EF989" w14:textId="77777777" w:rsidR="009019E8" w:rsidRDefault="009019E8" w:rsidP="009019E8">
      <w:pPr>
        <w:spacing w:after="0" w:line="240" w:lineRule="auto"/>
        <w:jc w:val="both"/>
        <w:rPr>
          <w:rFonts w:asciiTheme="majorBidi" w:hAnsiTheme="majorBidi" w:cs="Times New Roman"/>
          <w:sz w:val="28"/>
          <w:szCs w:val="28"/>
          <w:rtl/>
        </w:rPr>
      </w:pPr>
    </w:p>
    <w:p w14:paraId="379D73E9" w14:textId="359DDC26" w:rsidR="00CD51EB" w:rsidRPr="009019E8" w:rsidRDefault="009019E8" w:rsidP="009019E8">
      <w:pPr>
        <w:spacing w:after="0" w:line="240" w:lineRule="auto"/>
        <w:jc w:val="both"/>
        <w:rPr>
          <w:rFonts w:asciiTheme="majorBidi" w:hAnsiTheme="majorBidi" w:cstheme="majorBidi"/>
          <w:sz w:val="28"/>
          <w:szCs w:val="28"/>
        </w:rPr>
      </w:pPr>
      <w:r w:rsidRPr="009019E8">
        <w:rPr>
          <w:rFonts w:asciiTheme="majorBidi" w:hAnsiTheme="majorBidi" w:cs="Times New Roman"/>
          <w:sz w:val="28"/>
          <w:szCs w:val="28"/>
          <w:rtl/>
        </w:rPr>
        <w:t xml:space="preserve">غير أن النقاد العرب القدامى اقتصروا في موازناتهم على أدباء اللغة العربية، ولم يتطرقوا إلى ما أخذه الشعراء العرب من اللغات الأخرى </w:t>
      </w:r>
      <w:r>
        <w:rPr>
          <w:rFonts w:asciiTheme="majorBidi" w:hAnsiTheme="majorBidi" w:cs="Times New Roman" w:hint="cs"/>
          <w:sz w:val="28"/>
          <w:szCs w:val="28"/>
          <w:rtl/>
        </w:rPr>
        <w:t xml:space="preserve">مثل </w:t>
      </w:r>
      <w:r w:rsidRPr="009019E8">
        <w:rPr>
          <w:rFonts w:asciiTheme="majorBidi" w:hAnsiTheme="majorBidi" w:cs="Times New Roman"/>
          <w:sz w:val="28"/>
          <w:szCs w:val="28"/>
          <w:rtl/>
        </w:rPr>
        <w:t>الفارسية والهندية واليونانية، وكان من الشعراء العرب من يجيد الفارسية، ومنهم من درس الفكر اليوناني، ومنهم من اطلع على أدب الهند، بالإضافة إلى الترجمات التي قام بها العرب منذ العهد الأموي.</w:t>
      </w:r>
    </w:p>
    <w:sectPr w:rsidR="00CD51EB" w:rsidRPr="009019E8" w:rsidSect="007A3914">
      <w:pgSz w:w="11907" w:h="16839" w:code="9"/>
      <w:pgMar w:top="1418"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3050B" w14:textId="77777777" w:rsidR="00E24A14" w:rsidRDefault="00E24A14" w:rsidP="00CD51EB">
      <w:pPr>
        <w:spacing w:after="0" w:line="240" w:lineRule="auto"/>
      </w:pPr>
      <w:r>
        <w:separator/>
      </w:r>
    </w:p>
  </w:endnote>
  <w:endnote w:type="continuationSeparator" w:id="0">
    <w:p w14:paraId="0747ADE0" w14:textId="77777777" w:rsidR="00E24A14" w:rsidRDefault="00E24A14" w:rsidP="00CD5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38401" w14:textId="77777777" w:rsidR="00E24A14" w:rsidRDefault="00E24A14" w:rsidP="00CD51EB">
      <w:pPr>
        <w:spacing w:after="0" w:line="240" w:lineRule="auto"/>
      </w:pPr>
      <w:r>
        <w:separator/>
      </w:r>
    </w:p>
  </w:footnote>
  <w:footnote w:type="continuationSeparator" w:id="0">
    <w:p w14:paraId="3A9D5227" w14:textId="77777777" w:rsidR="00E24A14" w:rsidRDefault="00E24A14" w:rsidP="00CD51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2"/>
    <w:rsid w:val="00176ECA"/>
    <w:rsid w:val="001C074A"/>
    <w:rsid w:val="001E1CCE"/>
    <w:rsid w:val="002C7406"/>
    <w:rsid w:val="00722F33"/>
    <w:rsid w:val="007A3914"/>
    <w:rsid w:val="00840B81"/>
    <w:rsid w:val="00857BAB"/>
    <w:rsid w:val="009019E8"/>
    <w:rsid w:val="00974F05"/>
    <w:rsid w:val="00AB1DDF"/>
    <w:rsid w:val="00C71B03"/>
    <w:rsid w:val="00CB06EB"/>
    <w:rsid w:val="00CD51EB"/>
    <w:rsid w:val="00CE0192"/>
    <w:rsid w:val="00CE2766"/>
    <w:rsid w:val="00E24A14"/>
    <w:rsid w:val="00ED4EFA"/>
    <w:rsid w:val="00EE3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5AC4"/>
  <w15:chartTrackingRefBased/>
  <w15:docId w15:val="{0E28CACD-B65D-4E5E-9681-67B72FAC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51EB"/>
    <w:pPr>
      <w:tabs>
        <w:tab w:val="center" w:pos="4153"/>
        <w:tab w:val="right" w:pos="8306"/>
      </w:tabs>
      <w:spacing w:after="0" w:line="240" w:lineRule="auto"/>
    </w:pPr>
  </w:style>
  <w:style w:type="character" w:customStyle="1" w:styleId="Char">
    <w:name w:val="رأس الصفحة Char"/>
    <w:basedOn w:val="a0"/>
    <w:link w:val="a3"/>
    <w:uiPriority w:val="99"/>
    <w:rsid w:val="00CD51EB"/>
  </w:style>
  <w:style w:type="paragraph" w:styleId="a4">
    <w:name w:val="footer"/>
    <w:basedOn w:val="a"/>
    <w:link w:val="Char0"/>
    <w:uiPriority w:val="99"/>
    <w:unhideWhenUsed/>
    <w:rsid w:val="00CD51EB"/>
    <w:pPr>
      <w:tabs>
        <w:tab w:val="center" w:pos="4153"/>
        <w:tab w:val="right" w:pos="8306"/>
      </w:tabs>
      <w:spacing w:after="0" w:line="240" w:lineRule="auto"/>
    </w:pPr>
  </w:style>
  <w:style w:type="character" w:customStyle="1" w:styleId="Char0">
    <w:name w:val="تذييل الصفحة Char"/>
    <w:basedOn w:val="a0"/>
    <w:link w:val="a4"/>
    <w:uiPriority w:val="99"/>
    <w:rsid w:val="00CD51EB"/>
  </w:style>
  <w:style w:type="paragraph" w:styleId="a5">
    <w:name w:val="Normal (Web)"/>
    <w:basedOn w:val="a"/>
    <w:uiPriority w:val="99"/>
    <w:unhideWhenUsed/>
    <w:rsid w:val="00CD51E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909080">
      <w:bodyDiv w:val="1"/>
      <w:marLeft w:val="0"/>
      <w:marRight w:val="0"/>
      <w:marTop w:val="0"/>
      <w:marBottom w:val="0"/>
      <w:divBdr>
        <w:top w:val="none" w:sz="0" w:space="0" w:color="auto"/>
        <w:left w:val="none" w:sz="0" w:space="0" w:color="auto"/>
        <w:bottom w:val="none" w:sz="0" w:space="0" w:color="auto"/>
        <w:right w:val="none" w:sz="0" w:space="0" w:color="auto"/>
      </w:divBdr>
    </w:div>
    <w:div w:id="1134448498">
      <w:bodyDiv w:val="1"/>
      <w:marLeft w:val="0"/>
      <w:marRight w:val="0"/>
      <w:marTop w:val="0"/>
      <w:marBottom w:val="0"/>
      <w:divBdr>
        <w:top w:val="none" w:sz="0" w:space="0" w:color="auto"/>
        <w:left w:val="none" w:sz="0" w:space="0" w:color="auto"/>
        <w:bottom w:val="none" w:sz="0" w:space="0" w:color="auto"/>
        <w:right w:val="none" w:sz="0" w:space="0" w:color="auto"/>
      </w:divBdr>
      <w:divsChild>
        <w:div w:id="1977098874">
          <w:blockQuote w:val="1"/>
          <w:marLeft w:val="0"/>
          <w:marRight w:val="0"/>
          <w:marTop w:val="0"/>
          <w:marBottom w:val="360"/>
          <w:divBdr>
            <w:top w:val="none" w:sz="0" w:space="0" w:color="auto"/>
            <w:left w:val="none" w:sz="0" w:space="0" w:color="auto"/>
            <w:bottom w:val="none" w:sz="0" w:space="0" w:color="auto"/>
            <w:right w:val="single" w:sz="36" w:space="18" w:color="3C9CD8"/>
          </w:divBdr>
        </w:div>
      </w:divsChild>
    </w:div>
    <w:div w:id="211512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488</Words>
  <Characters>2785</Characters>
  <Application>Microsoft Office Word</Application>
  <DocSecurity>0</DocSecurity>
  <Lines>23</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7</cp:revision>
  <dcterms:created xsi:type="dcterms:W3CDTF">2026-05-18T09:42:00Z</dcterms:created>
  <dcterms:modified xsi:type="dcterms:W3CDTF">2026-05-21T22:04:00Z</dcterms:modified>
</cp:coreProperties>
</file>