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49" w:rsidRPr="00321D49" w:rsidRDefault="00321D49" w:rsidP="00321D49">
      <w:pPr>
        <w:spacing w:after="0" w:line="240" w:lineRule="auto"/>
        <w:rPr>
          <w:rFonts w:ascii="Times New Roman" w:eastAsia="Times New Roman" w:hAnsi="Times New Roman" w:cs="Times New Roman"/>
          <w:sz w:val="24"/>
          <w:szCs w:val="24"/>
        </w:rPr>
      </w:pPr>
      <w:bookmarkStart w:id="0" w:name="_GoBack"/>
      <w:r w:rsidRPr="00321D49">
        <w:rPr>
          <w:rFonts w:ascii="Times New Roman" w:eastAsia="Times New Roman" w:hAnsi="Times New Roman" w:cs="Times New Roman"/>
          <w:sz w:val="24"/>
          <w:szCs w:val="24"/>
        </w:rPr>
        <w:t xml:space="preserve">[29/08/2026 09:38 </w:t>
      </w:r>
      <w:r w:rsidRPr="00321D49">
        <w:rPr>
          <w:rFonts w:ascii="Times New Roman" w:eastAsia="Times New Roman" w:hAnsi="Times New Roman" w:cs="Times New Roman"/>
          <w:sz w:val="24"/>
          <w:szCs w:val="24"/>
          <w:rtl/>
        </w:rPr>
        <w:t>م] د. اسماء: المحاضرة الخامسة</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الفناء الصوفي</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يسعى الصوفية بطرق مختلفة إلى التسامي بأرواحهم ليرتقوا بها إلى الفناء في روح الله فيستطيعوا بذلك الإتيان بعجائب الأعمال: فمنهم من كانت وسيلته إلى هذا التسامي هي الصلاة والتأمل، ومنهم من كانت سبيله إليها النشوة التي تعقب الأذكار العنيفة ،وبالفناء يفقد الصوفية عالم الناس، ليعيشوا في عالم آخر، هو عالم الجمال المطلق والخير المطلق، والحق المطلق، وفى عالمهم هذا ترفع الأستار عن الأسرار، وتتجلى لهم الحقائق، حق اليقين، وعين اليقين، وهم في عالمهم هذا ليسوا على درجة سواء، فمنهم من يشاهد الحبيب وهو في حالة رهبة أو خشية ومنهم من يشاهده وهو في حالة أنس به، أو مناجاة له</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 xml:space="preserve">ويقول السراج في كتابه اللمع </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tl/>
        </w:rPr>
        <w:t>و معنى الفناء والبقاء في اوائله فناء الجهل ببقاء العلم ، وفناء المعصية ببقاء الطاعة ،وفناء الغفلة ببقاء الذكر وفناء رؤيا حركات العبد لبقاء رؤيا عناية الله تعالى في سبق الحياة</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tl/>
        </w:rPr>
        <w:t xml:space="preserve">،وفي موضع اخر يقول </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tl/>
        </w:rPr>
        <w:t>ومعنى الفناء فناء صفة النفس ، وفناء المنع والاسترواح الى حال وقع والبقاء بقاء العبد على ذلك , وايضاً الفناء هو فناء رؤيا العبد في افعال لأفعاله بقيام الله له في ذلك</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tl/>
        </w:rPr>
        <w:t>، والفناء في نضر السراج عملية تحصل تدريجياً في مراحل خمس</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Pr>
        <w:br/>
        <w:t xml:space="preserve">1. </w:t>
      </w:r>
      <w:r w:rsidRPr="00321D49">
        <w:rPr>
          <w:rFonts w:ascii="Times New Roman" w:eastAsia="Times New Roman" w:hAnsi="Times New Roman" w:cs="Times New Roman"/>
          <w:sz w:val="24"/>
          <w:szCs w:val="24"/>
          <w:rtl/>
        </w:rPr>
        <w:t>فأول علامة الفاني ذهاب حظه من الدنيا والآخرة بورود ذكر الله تعالى</w:t>
      </w:r>
      <w:r w:rsidRPr="00321D49">
        <w:rPr>
          <w:rFonts w:ascii="Times New Roman" w:eastAsia="Times New Roman" w:hAnsi="Times New Roman" w:cs="Times New Roman"/>
          <w:sz w:val="24"/>
          <w:szCs w:val="24"/>
        </w:rPr>
        <w:br/>
        <w:t xml:space="preserve">2. </w:t>
      </w:r>
      <w:r w:rsidRPr="00321D49">
        <w:rPr>
          <w:rFonts w:ascii="Times New Roman" w:eastAsia="Times New Roman" w:hAnsi="Times New Roman" w:cs="Times New Roman"/>
          <w:sz w:val="24"/>
          <w:szCs w:val="24"/>
          <w:rtl/>
        </w:rPr>
        <w:t>ثم ذهاب حظه من ذكر الله تعالى عند حظه بذكر الله تعالى له</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Pr>
        <w:br/>
        <w:t xml:space="preserve">3. </w:t>
      </w:r>
      <w:r w:rsidRPr="00321D49">
        <w:rPr>
          <w:rFonts w:ascii="Times New Roman" w:eastAsia="Times New Roman" w:hAnsi="Times New Roman" w:cs="Times New Roman"/>
          <w:sz w:val="24"/>
          <w:szCs w:val="24"/>
          <w:rtl/>
        </w:rPr>
        <w:t xml:space="preserve">ثم تفنى رؤية ذكر الله تعالى حتى يبقى حظه </w:t>
      </w:r>
      <w:proofErr w:type="gramStart"/>
      <w:r w:rsidRPr="00321D49">
        <w:rPr>
          <w:rFonts w:ascii="Times New Roman" w:eastAsia="Times New Roman" w:hAnsi="Times New Roman" w:cs="Times New Roman"/>
          <w:sz w:val="24"/>
          <w:szCs w:val="24"/>
          <w:rtl/>
        </w:rPr>
        <w:t>بالله</w:t>
      </w:r>
      <w:r w:rsidRPr="00321D49">
        <w:rPr>
          <w:rFonts w:ascii="Times New Roman" w:eastAsia="Times New Roman" w:hAnsi="Times New Roman" w:cs="Times New Roman"/>
          <w:sz w:val="24"/>
          <w:szCs w:val="24"/>
        </w:rPr>
        <w:t xml:space="preserve"> .</w:t>
      </w:r>
      <w:proofErr w:type="gramEnd"/>
      <w:r w:rsidRPr="00321D49">
        <w:rPr>
          <w:rFonts w:ascii="Times New Roman" w:eastAsia="Times New Roman" w:hAnsi="Times New Roman" w:cs="Times New Roman"/>
          <w:sz w:val="24"/>
          <w:szCs w:val="24"/>
        </w:rPr>
        <w:br/>
        <w:t xml:space="preserve">4. </w:t>
      </w:r>
      <w:r w:rsidRPr="00321D49">
        <w:rPr>
          <w:rFonts w:ascii="Times New Roman" w:eastAsia="Times New Roman" w:hAnsi="Times New Roman" w:cs="Times New Roman"/>
          <w:sz w:val="24"/>
          <w:szCs w:val="24"/>
          <w:rtl/>
        </w:rPr>
        <w:t>ثم ذهاب حظه من الله تعالى برؤية حظه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t xml:space="preserve">5. </w:t>
      </w:r>
      <w:r w:rsidRPr="00321D49">
        <w:rPr>
          <w:rFonts w:ascii="Times New Roman" w:eastAsia="Times New Roman" w:hAnsi="Times New Roman" w:cs="Times New Roman"/>
          <w:sz w:val="24"/>
          <w:szCs w:val="24"/>
          <w:rtl/>
        </w:rPr>
        <w:t>ثم ذهاب حظه برؤية حظه لفناء الفناء وبقاء البقاء</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لما كانت المعرفة الصوفية لاتتم على هذا النحو الإشراقي إلا مع الغيبة عن النفس أو فنائها عن إدراكات الحواس بحيث ينتقل مجال الإدراك من الجانب المادي إلى الجانب الروحي الخالص، فإن هذا يعنى بما لا يدع مجالاً للشك ارتباط الفناء بالحالات النفسية المرتكزة على المشاعر الباطنية دون الحس أو العقل ويصل السالك إلى حال الفناء النفسى نتيجة لتعلقه الشديد بالذات الإلهية ذلك التعلق الذي يصاحب توجيه كل أجهزة الاستقبال البشرية سواء أكانت عقلية مدركة أو حاسية مستشعرة إلى اتجاه واحد بعينه هو اتجاه الذات الإلهية بحيث لا يعود الشخص شاعراً بنفسه ولا بعدم شعوره بنفسه</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ابو يزيد البسطامي</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 xml:space="preserve">الصوفي ابو يزيد البسطامي تلوح شخصيته بقوة في أفق التصوف الفارسي المبكر. صوفية قليلون أثروا وحيروا معاصريهم والأجيال اللاحقة بقدر ما كان لهذا الزاهد من البلد الصغير المعروف بـ « بسطام » في الشمال الشرقي من إيران وتنسب إليه تجارب غريبة وإخلاص عظيم. وقد اجتذبت عباراته العرفانية وأقواله الموهمة للتناقض صوفيا آخر، مختلفًا عنه كثيرا، هو الجنيد (تـ </w:t>
      </w:r>
      <w:r w:rsidRPr="00321D49">
        <w:rPr>
          <w:rFonts w:ascii="Times New Roman" w:eastAsia="Times New Roman" w:hAnsi="Times New Roman" w:cs="Times New Roman"/>
          <w:sz w:val="24"/>
          <w:szCs w:val="24"/>
          <w:rtl/>
          <w:lang w:bidi="fa-IR"/>
        </w:rPr>
        <w:t>۹۱</w:t>
      </w:r>
      <w:r w:rsidRPr="00321D49">
        <w:rPr>
          <w:rFonts w:ascii="Times New Roman" w:eastAsia="Times New Roman" w:hAnsi="Times New Roman" w:cs="Times New Roman"/>
          <w:sz w:val="24"/>
          <w:szCs w:val="24"/>
          <w:rtl/>
        </w:rPr>
        <w:t>٠م) ، إمام مدرسة بغداد، الذي اعتقد في أية حال أن بايزيد لم يبلغ الغاية القصوى للمريد./ اول من استعمل كلمة الفناء بمعناها الصوفي الدقيق ، اي معنى محو النفس الانسانية وأثارها وصفاتها حيث اول من وضع لهذا المذهب. واعتبره الدرجه القصوى من سلم معراجه الروحي وله فيها اقول تدعى بالشطحات الصوفية جمعها السهلكي له (المتوفى سنة (٤٧٦ ) فى كتاب «النور» وأشار إلى بعضها أبو القاسم القشيري في رسالته وفريد الدين العطار في تذكرة الأولياء وأبو نصر السراج في كتاب اللمع وغيرهم من ذلك قوله «حججت مرة فرأيت البيت، وحجبت ثانية فرأيت البيت وصاحبه وحججبت ثالثة فلم أر البيت ولا صاحبه». يفصل في هذا مراحل معراجه الروحى الذى انتهى فيه إلى مقام الفناء التام أو الوحدة التامة. فالحج هنا رمز للسفر الروحي، وأول مراحله هو المرحلة الحسية التى رأى بـ فيها «البيت» (العالم) وأدركه إدراكًا حسّيا . وفي الحج الثاني أدرك البيت وصاحب البيت: أى أدرك «الاثنينية» إدراكًا عقليًا وفرق بين الله والعالم الى وفي الحج الثالث أدرك بقلبه وشهوده «الكل» الذي لم يميز فيه بين البيت وصاحب الـبـيـت. فــمــراتـب هـذا الحج ثلاث : إدراك حسی فإدراك عقلي فشهود قلبى أو فردية فثنوية، فوحدة مطلقة تنمحى فيها الكثرة العقلية والحسية</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أمل ابو يزيد باندراس تام لآثار النفس، وليس بتوسيع أى شيء مخلوق. طريق النفي هو طريقه؛ لكنه كان أيضًا أوّل من وصف التجربة الصوفية بلغة صورة المعراج، الرحلة السماوية للنبي. تتوهج أقواله بالتوق اليائس وتمتلك جمالا عجيبًا، وهي تُرْعِبُ في أحيان كثيرة بلغتها المجازية القوية. اشتياقه مطلق، وكذا خيبة أمله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 xml:space="preserve">ونجد الشطح لاول مرة عند ابي يزيد البسطامي في القرن الثالث للهجرة , والشطح هو تعبير عما تشعر به النفس حينما تصبح لاول مرة في حضرة الألوهية ، فتدرك ان الله هي وهي هو ، ويقوم اذن على اعتاب الاتحاد ، ويأتي </w:t>
      </w:r>
      <w:r w:rsidRPr="00321D49">
        <w:rPr>
          <w:rFonts w:ascii="Times New Roman" w:eastAsia="Times New Roman" w:hAnsi="Times New Roman" w:cs="Times New Roman"/>
          <w:sz w:val="24"/>
          <w:szCs w:val="24"/>
          <w:rtl/>
        </w:rPr>
        <w:lastRenderedPageBreak/>
        <w:t>نتيجة وجد عنيف لا يستطيع صاحبه كتمانه فينطلق بالافصاح عنه لسانه وفيه يتبين هذه الهويه الجوهرية فيما بين العبد الواصل و المعبود الموصول اليه</w:t>
      </w:r>
      <w:r w:rsidRPr="00321D49">
        <w:rPr>
          <w:rFonts w:ascii="Times New Roman" w:eastAsia="Times New Roman" w:hAnsi="Times New Roman" w:cs="Times New Roman"/>
          <w:sz w:val="24"/>
          <w:szCs w:val="24"/>
        </w:rPr>
        <w:br/>
        <w:t xml:space="preserve">[29/08/2026 09:38 </w:t>
      </w:r>
      <w:r w:rsidRPr="00321D49">
        <w:rPr>
          <w:rFonts w:ascii="Times New Roman" w:eastAsia="Times New Roman" w:hAnsi="Times New Roman" w:cs="Times New Roman"/>
          <w:sz w:val="24"/>
          <w:szCs w:val="24"/>
          <w:rtl/>
        </w:rPr>
        <w:t>م] د. اسماء: لم يترك أبو يزيد البسطامي آثاراً مكتوبة، فكلّ ما وصلنا منه مجرد أقوال أو حكايات تناقلها الرواة عنه تردّدت بين الطول والقصر، قالها أو عاشها في أزمنة مختلفة ومتباعدة لم تقع العبارة عنها أو تحديدها ووصلها، وهو ما يجعل عملية التقريب بينها بغية معرفة تطوّر مرحلي في تصوّفه وفي تعامله مع «الفناء» أمراً عسيراً إن لم نقل مستحيلاً لما عرض لهذه الأقوال والحكايات من زيادة ونقص وتحوير وتصحيف. لا أثر وفاته فحسب وانما ايضاً أثناء حياته، غايتها الطعن حيناً والدفاع حيناً آخر</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من بين أقوال البسطامي التي تقود للفناء هما التوحيد والمعراج، التوحيد عين مواضعه ورسم حدوده وأهدافه أو غاياته، وهو أمر مشترك بين جميع الصوفية، أما المعراج ركزه وثبت موقعه، وفيه تكمن ميزة أبي يزيد وتصوفه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الفناء شرط التوحيد: يحتل التوحيد في تصوّف أبي يزيد البسطامي منزلة مركزية فهو محرقه وعنه تتفرع مختلف عقائده وينبني سلوكه، وقد تلقاه أثناء صحبته لأبي علي السندي، يقول أبو يزيد : ((صحبت أبا علي السندي فكنت ألقنه ما يقيم به فرضه، وكان يعلمني التوحيد والحقائق صرفاً</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إن التوحيد عند البسطامي شأنه شأن بقية المتصوفة لم يكن مجرد اعتراف أو تلقين أو إقرار باللسان بأحديّة الله، وإنما هو قائم على الفعل والممارسة من حيث هو نفي كلّ ما سوى الله نفياً عملياً يتم عبر الذوق والإلهام الروحي متجاوزاً حدّ الاقتناع العقلي، وهنا ينبثق مفهوم (الفناء) وتتبين معالمه وخصائصه وتتضح حدوده وأبعاده شيئاً فشيئاً بتقدم (الفاني) في سلم التوحيد، وهو ما يختزله تقريباً قول البسطامي : ((أشرفت على ميدان الليسية، فمازلت أطير فيه عشر سنين، حتى صرت من ليس في ليس بليس، ثم أشرفت على التضييع، وهو ميدان التوحيد، فلم أزل أطير بليس في التضييع حتى ضعت في الضياع ضياعاً، وضعت فضعت عن التضييع بليس في ليس في ضياعه التضييع، ثمّ أشرفت على التوحيد في غيبوبة الخلق عن العارف وغيبوبة العارف عن الخلق)). وهو قول في غاية الإبهام والإغراب أذ عده الجنيد حاوياً لمعان من الفناء بتغيب الفناء عن الفناء</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والليس هو اللاوجود، وهو سلب للحس والوعي بفقدهما (غيبوبة). ومن معاني الفناء حيث هو إحساس المتصوف بتلاشي وجوده ووجود غيره وزوال آثارهما، ثم انعدام هذا الإحساس ذاته واندثاره، وهو ما اصطلح عليه الصوفية ب (الفناء) و(فناء الفناء)، ولا تحصل هذه المعاني دفعة واحدة، وإنما تتم بالانتقال التدريجي من نقطة إلى أخرى لكل ميزتها وقيمتها</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يتدخل عامل (الحجب) التي تقف أمام التوحيد الفعلي، ومن ثم فإن عملية إزالتها أمر لابد منه للوصول إلى هذا التوحيد، وتتم هذه العملية (الإزالة) على امتداد الطريق الصوفي لتبلغ ذروتها في (الفناء). فأن الفناء ببساطة هو إقصاء لكل ما يحول بين الصوفي وربه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أ-الفناء أقصاء للنفس البشرية: والنفس البشرية عند البسطامي ((صفة لا تسكن إلا بالباطل)) وهو ما يكسب فعل إقصائها وتجاوزها بعداً أخلاقياً لا يلح عليه أبو يزيد بقدر ما يهتم بكيفية (الفناء) عن هذه النفس وتأكيد ضرورته يقول ((دعوت نفسي إلى الله فاستعصت عليّ فتركتها ومضيت إليه)) فالطريق إلى الله مشروط حتماً بالقطع مع النفس باعتبارها حاجزاً بين الصوفي وربه لانغماسها في إنيتها وانخداعها بفاعليتها واعتقادها في قيمة أفعالها، وهو ما يلغى كلية أثناء «الفناء الصوفي؛ إذ فيه ينسى المتصوف نفسه كان أوّل ما أورد علي أن أنساني نفسي بالكلية )) وتتوارى عنه آثار فعله وإرادته وتغيب عنه شخصيته وصفاته أذ يقول (( طلبت الله ثلاثين سنة فإذا أنا ظننت أني أردته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ب-الفناء انعدام العالم الخارجي: الانعدام يتم في وعي الصوفي ووجدانه، وهو في معنى من معانيه امتداد (للفناء) عن النفس فيما يمكن أن تشتغل به أو تسكن إليه دنيوياً كان أو أخروياً</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يقول البسطامي ((امتحنت بعرض العطايا عطايا الدنيوية فأعرضت عنها، ثم عرضوا عليّ عطايا الأخروية فمالت نفسي إليها، ثم نبهني لها أنّها خدعة فأعرضت عنها. فلمّا رآني لا أنخدع لأنها من الكونية فتح لي عطايا الإلهية)). ومفهوم (الخدعة) هنا محوري عند أبي يزيد فكل ما سوى الله تنطبق عليه هذه الصفة (الخدعة) وبذلك يكون ((الفناء صرفاً للنظر عن هذا السوى، وانعتاقاً من القيود التي تحكم وجود الفرد بما في ذلك قيود الزمان والمكان. ((لا صباح ولا مساء، إنّما الصباح والمساء لمن تأخذه الصفة وأنا لا صفة لي، واستحضاراً دائماً للذات الإلهية هدفاً يروم الصوفي إدراكه والوصول إليه ((أنا لا أريد من الله إلا الله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ج- الفناء بالتوحيد: إن حصر اهتمام الصوفي في ربّه وتوقه إلى الوصول إليه يدفعه إلى (الفناء) عن كلّ ما قد يقف بينه وبين تحقيق هذه الغاية، بما في ذلك الصفات الإلهية التي قد تشكّل بدورها حجاباً يقول البسطامي: ((حظوظ كرامات الأولياء على اختلافها تكون من أربعة أسماء: الأول والآخر والظاهر والباطن، ولكل فريق منها اسم، فمن فني عنها بعد ملابستها فهو الكامل التام</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t xml:space="preserve">[29/08/2026 09:38 </w:t>
      </w:r>
      <w:r w:rsidRPr="00321D49">
        <w:rPr>
          <w:rFonts w:ascii="Times New Roman" w:eastAsia="Times New Roman" w:hAnsi="Times New Roman" w:cs="Times New Roman"/>
          <w:sz w:val="24"/>
          <w:szCs w:val="24"/>
          <w:rtl/>
        </w:rPr>
        <w:t xml:space="preserve">م] د. اسماء: فالأسماء من حيث هي حاملة لمعاني الصفات ودالة عليها قابلة لأن يدركها العبد ويتصف بها. وهو ما يخرق من هذه الزاوية - مبدأ التوحيد الذي تبدو الصفات قاعدة هشة له. فضلاً عن أن بلوغ الصوفي هذه الدرجة من الاتحاد بالصفات الإلهية وانتقاله إلى طور (الربانية) كما شاع في اصطلاح </w:t>
      </w:r>
      <w:r w:rsidRPr="00321D49">
        <w:rPr>
          <w:rFonts w:ascii="Times New Roman" w:eastAsia="Times New Roman" w:hAnsi="Times New Roman" w:cs="Times New Roman"/>
          <w:sz w:val="24"/>
          <w:szCs w:val="24"/>
          <w:rtl/>
        </w:rPr>
        <w:lastRenderedPageBreak/>
        <w:t>الصوفية، قد يؤدي به إلى الشعور بنوع من التميز والكمال في ذاته، بمعنى أنه يحيي فيه من جديد الإحساس بالنفس ويحجبه من ثمّ عن المقصود الأسمى الذي هو الله ذاته. وهنا يقلب البسطامي المعادلة، ويميز بين الحجاب الإيجابي والحجب السالبة فيصبح الله ذاته حجاباً بعد أن كان محجوباً، لكنّه حجاب محمود إذ فيه يدرك الصوفي درجة الكمال والعرفان وهو ما نلمسه من خلال إجابة أبي يزيد رجلاً سأله: (( يا أبا يزيد العارف يحجبه شيء عن ربّه ؟ فقال: يا مسكين من كان هو حجابه أي شيء يحجبه؟</w:t>
      </w:r>
      <w:r w:rsidRPr="00321D49">
        <w:rPr>
          <w:rFonts w:ascii="Times New Roman" w:eastAsia="Times New Roman" w:hAnsi="Times New Roman" w:cs="Times New Roman"/>
          <w:sz w:val="24"/>
          <w:szCs w:val="24"/>
        </w:rPr>
        <w:br/>
        <w:t>2-</w:t>
      </w:r>
      <w:r w:rsidRPr="00321D49">
        <w:rPr>
          <w:rFonts w:ascii="Times New Roman" w:eastAsia="Times New Roman" w:hAnsi="Times New Roman" w:cs="Times New Roman"/>
          <w:sz w:val="24"/>
          <w:szCs w:val="24"/>
          <w:rtl/>
        </w:rPr>
        <w:t>الفناء من خلال المعراج: يعد البسطامي أول من تمثل هذه القصة (المعراج في أوساط الصوفية، ونقل من خلالها تصوّراً مخصوصاً لسفره نحو الذات الإلهية. وقد أثرت محاولته هذه في المتصوّفة من بعده. وعلى الرغم من تنوع الصيغ التي وردت فيها قصة معراج البسطامي (معراج الروح، معراج القلب...) من خلال أقواله، فإنها اتفقت تقريباً على كونها رؤيا وقعت له في المنام، أي أنها تكتسب طابع الخيال والإلهام والهبة أو المنة الإلهية. وهو ما يجعلها أكثر قابلية للولوج داخل دوائر الصوفية، ويسبغ عليها جانباً من المشروعية. وقد أحل البسطامي الفناء فيها محلّ القمة حين يصح له القرب من الذات الإلهية، أذ يقول البسطامي: ((كنت أذوب عند ذلك كما يذوب الرصاص... ثم لم أزل مثل ذلك حتى صرت كما كان من حيث لم يكن التكوين وبقي الحق بلا كون ولا بين ولا أين ولا حيث ولا كيف)). ومنه يتبين مختلف درجات الفناء فهو ضرب من تلاشي ذات المتصوف واضمحلالها وصيرورتها إلى نوع من العدم المطلق، وهو غياب الصوفي مقابل حضور الذات الإلهية مع انتفاء معايير الجسمية، والتحدّد، والكينونة (بلا كون)، والوصفية (لا) بين ولا كيف ، والمكانية (لا أين ولا حيث)،فهو شهود الوحدانية المطلقة للذات الإلهية، وعيشها بالذوق والوجدان. وخلاصة القول : إنّ «الفناء» عند البسطامي قمة التجربة الصوفية وكمالها، وهو تنازل كلّي عن موقعه من حيث هو ذات بشرية إلى الذات الإلهية، فهو نفي وإثبات في وقت واحد وعملية النفي والإثبات هذه تتسق مع مضمون الشهادة في الإسلام فهي خلاصتها ، يتقلص فيهما بعد المفارقة بين الذاتين وتصبح الأولى متصرفة بالثانية خاضعة لها</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التحديد المفهومي: لا يوجد للمتصوفين الأوائل سوى ثلاث تعريفات ماهوية للفناء، لقناعتهم باستحالة ما يعيشونه من أحوال ومواجد للحد أو الحصر</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الأول هو قول الحراز ((الفناء هو التلاشي بالحق)) ويتأتى غموضه من عمومه وشدة اختزاله، وهو أقرب للشرح اللغوي منه إلى التحديد الاصطلاحي: فالتلاشي لغة هو الاضمحلال والصيرورة إلى العدم وكذلك الفناء، إلا أن عبارة بالحق تقيده نسبياً، وتعطيه دلالة مخصوصة</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فـ (الفناء) إذا سمة لحالة مميزة تقوم على ما تحويه الانتقال التدريجي السالب من وضع إلى وضع آخر (التلاشي – مع ما تحويه هذه اللفظة من بعد سالب - وإن كان هذا السلب يحمل ضمنياً معنى الإيجاب، أذ هو سلب للمدنس وتحضيراً لتقبل المقدس</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وثاني هذه التعريفات للجنيد وعن جعفر الخلدي قال ... وسمعت الجنيد رحمه الله يقول وقد سئل عن الفناء فقال: ((استعجام كلّك عن أوصافك واستعمال الكل منك بكليتك)). أما السهروردي فقد أورده بنص: ((الفناء استعجام الكل عن أوصافك واشتغال الكل منك بكليته)). والفرق جلي بينهما خاصة في مسألة الضمائر (كلك الكل - كليتك / كليته، وهذا ما يجعل النصين قابلين لقراءات شتى لاسيما وقد استغلقت بعض عباراتهما مثل الكل والكلية</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أما التعريف الثالث، فموطن الغموض فيه كامن في صاحبه لا في نصه، فقد أورده الكلاباذي بصيغة: (( قال أبو القاسم فارس: الفناء حال من لا يشهد صفته، بل يشهدها مغمورة بمغيبها)). واكتفى بذكر أسمه وكنيته دون تحديد نسبه أو تاريخ حياته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ويقوم هذا التعريف على أمرين اثنين</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أولهما اعتبار «الفناء» حالاً، ومن ثمّ تنزيله ضمن جملة الأحوال التي ترد على الصوفي في طريقه نحو ربه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أما الثاني فهو تعلّق هذه (الحال) بنوع من الفصل بين العبد وصفته، فصلاً لا بمعنى القطع وإنّما بمعنى الخفاء والاستتار، بل بمعنى الغيبة، وهي غيبة تتولد بمنأى عن تدخل الصوفي الذي يبدو معطلاً في هذه الحال، تعطيلاً نسبياً، وهذه النسبية تقصر هذا التعريف عن الإحاطة بما يسمّيه الصوفية فناء الفناء حيث يغيب الصوفي حتّى عن شهود (فناء) صفته ((فلا يبقى فيه إلّا ما من الله إليه ويفنى عنه ما منه إلى الله</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t xml:space="preserve">[29/08/2026 09:38 </w:t>
      </w:r>
      <w:r w:rsidRPr="00321D49">
        <w:rPr>
          <w:rFonts w:ascii="Times New Roman" w:eastAsia="Times New Roman" w:hAnsi="Times New Roman" w:cs="Times New Roman"/>
          <w:sz w:val="24"/>
          <w:szCs w:val="24"/>
          <w:rtl/>
        </w:rPr>
        <w:t>م] د. اسماء: أما التأصيل المفهومي فهو عملية توظيف المتصوفة للنصين القرآني والسنّي خاصة لإسباغ المشروعية على فكرة الفناء من جهة، ولمزيد الغوص في معانيها وأغراضها والتوسع فيها من جهة أخرى. وقد ساعدهم على ذلك توفّر آيات عدّة تنصّ على الفناء إما باللفظ أو بالمعنى وجهوا قراءتها وفق ما يعيشونه من مواجد وأحوال، وما يرمون إلى تحقيقه من غايات وأهداف من قبيل ما فعله الخرّاز في كتاب (الفراغ) من خلال الآيات الآتية</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كُلُّ مَنْ عَلَيْهَا فَانٍ وَيَبْقَى وَجْهُ رَبِّكَ ذُو الْجَلَالِ وَالْإِكْرَامِ [الرحمن: 26-27</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كُلُّ شَيْءٍ هَالِكُ إِلَّا وَجْهَهُ﴾ [القصص: 88</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كُلُّ نَفْسٍ ذَائِقَةُ الْمَوْتِ﴾ [الأنبياء: 35</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أ - مركزية الميثاق</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lastRenderedPageBreak/>
        <w:t>استخلص الصوفية فكرة الميثاق من الآية الثانية والسبعين بعد المئة من سورة الأعراف ونصها وَإِذْ أَخَذَ رَبُّكَ مِنْ بَنِي ءَادَمَ مِن ظُهُورِهِمْ ذُرِّيَّنَهُمْ وَأَشْهَدَهُمْ عَلَى أَنفُسِهِمْ أَلَسْتُ بِرَبِّكُمْ قَالُوا بَلَى شَهِدْنَا أَن تَقُولُوا يَوْمَ الْقِيَامَةِ إِنَّا كُنَّا عَنْ هَذَا غَافِلِينَ﴾ [الأعراف : 172]. وليس مجازفة القول إنّ هذه الآية تشكل في عرف الصوفية نصاً مركزاً عنه تصدر كثير من عقائدهم ورؤاهم، وهو ما يفسر تعدد الإشارات إليها في أقوالهم وكتاباتهم، بل إنّ بعضهم تجاوز حد الإشارة ليبني عليها تصوّراً للوجود والخلق وإن بقي هذا التصور حبيس عدد من المسلمات دون توسع أو إفاضة - مثل ما نجده مع الخراز والجنيد بصيغ متقاربة تصل حد التماهي أحياناً</w:t>
      </w:r>
      <w:r w:rsidRPr="00321D49">
        <w:rPr>
          <w:rFonts w:ascii="Times New Roman" w:eastAsia="Times New Roman" w:hAnsi="Times New Roman" w:cs="Times New Roman"/>
          <w:sz w:val="24"/>
          <w:szCs w:val="24"/>
        </w:rPr>
        <w:t>.</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ب-ثنائية المحب والمحبوب</w:t>
      </w:r>
      <w:r w:rsidRPr="00321D49">
        <w:rPr>
          <w:rFonts w:ascii="Times New Roman" w:eastAsia="Times New Roman" w:hAnsi="Times New Roman" w:cs="Times New Roman"/>
          <w:sz w:val="24"/>
          <w:szCs w:val="24"/>
        </w:rPr>
        <w:t xml:space="preserve"> :</w:t>
      </w:r>
      <w:r w:rsidRPr="00321D49">
        <w:rPr>
          <w:rFonts w:ascii="Times New Roman" w:eastAsia="Times New Roman" w:hAnsi="Times New Roman" w:cs="Times New Roman"/>
          <w:sz w:val="24"/>
          <w:szCs w:val="24"/>
        </w:rPr>
        <w:br/>
      </w:r>
      <w:r w:rsidRPr="00321D49">
        <w:rPr>
          <w:rFonts w:ascii="Times New Roman" w:eastAsia="Times New Roman" w:hAnsi="Times New Roman" w:cs="Times New Roman"/>
          <w:sz w:val="24"/>
          <w:szCs w:val="24"/>
          <w:rtl/>
        </w:rPr>
        <w:t>تتأسس هذه الثنائية على الحديث القدسي: ((من عادى لي ولياً فقد آذنته بالحرب، وما تقرّب إليّ عبدي بشيء أحبّ إليّ ممّا افترضت عليه، وما يزال عبدي يتقرب إلي بالنوافل حتى أحبّه ، فإذا أحببته كنت سمعه الذي يسمع به، وبصره الذي يبصر به، ويده التي يبطش بها ، ورجله التي يمشي بها ))وهو «حديث» تردّد ذكره في أوساط المتصوّفة بصيغ شتى وبألفاظ مختلفة مما يدفع إلى الشكّ في صحته ونسبته، ووروده في صحيح البخاري، أو في بعض كتب الحديث الأخرى، لا يضيف شيئاً في هذا المجال</w:t>
      </w:r>
      <w:r w:rsidRPr="00321D49">
        <w:rPr>
          <w:rFonts w:ascii="Times New Roman" w:eastAsia="Times New Roman" w:hAnsi="Times New Roman" w:cs="Times New Roman"/>
          <w:sz w:val="24"/>
          <w:szCs w:val="24"/>
        </w:rPr>
        <w:t>.</w:t>
      </w:r>
    </w:p>
    <w:bookmarkEnd w:id="0"/>
    <w:p w:rsidR="00AB09D3" w:rsidRPr="00321D49" w:rsidRDefault="00AB09D3" w:rsidP="00321D49">
      <w:pPr>
        <w:jc w:val="both"/>
        <w:rPr>
          <w:lang w:bidi="ar-IQ"/>
        </w:rPr>
      </w:pPr>
    </w:p>
    <w:sectPr w:rsidR="00AB09D3" w:rsidRPr="00321D49" w:rsidSect="00B0113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9D3"/>
    <w:rsid w:val="00104DAB"/>
    <w:rsid w:val="00321D49"/>
    <w:rsid w:val="0061292F"/>
    <w:rsid w:val="00AB09D3"/>
    <w:rsid w:val="00B01131"/>
    <w:rsid w:val="00D86C48"/>
    <w:rsid w:val="00DA76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8747">
      <w:bodyDiv w:val="1"/>
      <w:marLeft w:val="0"/>
      <w:marRight w:val="0"/>
      <w:marTop w:val="0"/>
      <w:marBottom w:val="0"/>
      <w:divBdr>
        <w:top w:val="none" w:sz="0" w:space="0" w:color="auto"/>
        <w:left w:val="none" w:sz="0" w:space="0" w:color="auto"/>
        <w:bottom w:val="none" w:sz="0" w:space="0" w:color="auto"/>
        <w:right w:val="none" w:sz="0" w:space="0" w:color="auto"/>
      </w:divBdr>
    </w:div>
    <w:div w:id="243028552">
      <w:bodyDiv w:val="1"/>
      <w:marLeft w:val="0"/>
      <w:marRight w:val="0"/>
      <w:marTop w:val="0"/>
      <w:marBottom w:val="0"/>
      <w:divBdr>
        <w:top w:val="none" w:sz="0" w:space="0" w:color="auto"/>
        <w:left w:val="none" w:sz="0" w:space="0" w:color="auto"/>
        <w:bottom w:val="none" w:sz="0" w:space="0" w:color="auto"/>
        <w:right w:val="none" w:sz="0" w:space="0" w:color="auto"/>
      </w:divBdr>
    </w:div>
    <w:div w:id="788815647">
      <w:bodyDiv w:val="1"/>
      <w:marLeft w:val="0"/>
      <w:marRight w:val="0"/>
      <w:marTop w:val="0"/>
      <w:marBottom w:val="0"/>
      <w:divBdr>
        <w:top w:val="none" w:sz="0" w:space="0" w:color="auto"/>
        <w:left w:val="none" w:sz="0" w:space="0" w:color="auto"/>
        <w:bottom w:val="none" w:sz="0" w:space="0" w:color="auto"/>
        <w:right w:val="none" w:sz="0" w:space="0" w:color="auto"/>
      </w:divBdr>
    </w:div>
    <w:div w:id="1011758884">
      <w:bodyDiv w:val="1"/>
      <w:marLeft w:val="0"/>
      <w:marRight w:val="0"/>
      <w:marTop w:val="0"/>
      <w:marBottom w:val="0"/>
      <w:divBdr>
        <w:top w:val="none" w:sz="0" w:space="0" w:color="auto"/>
        <w:left w:val="none" w:sz="0" w:space="0" w:color="auto"/>
        <w:bottom w:val="none" w:sz="0" w:space="0" w:color="auto"/>
        <w:right w:val="none" w:sz="0" w:space="0" w:color="auto"/>
      </w:divBdr>
    </w:div>
    <w:div w:id="1095321200">
      <w:bodyDiv w:val="1"/>
      <w:marLeft w:val="0"/>
      <w:marRight w:val="0"/>
      <w:marTop w:val="0"/>
      <w:marBottom w:val="0"/>
      <w:divBdr>
        <w:top w:val="none" w:sz="0" w:space="0" w:color="auto"/>
        <w:left w:val="none" w:sz="0" w:space="0" w:color="auto"/>
        <w:bottom w:val="none" w:sz="0" w:space="0" w:color="auto"/>
        <w:right w:val="none" w:sz="0" w:space="0" w:color="auto"/>
      </w:divBdr>
    </w:div>
    <w:div w:id="1720395263">
      <w:bodyDiv w:val="1"/>
      <w:marLeft w:val="0"/>
      <w:marRight w:val="0"/>
      <w:marTop w:val="0"/>
      <w:marBottom w:val="0"/>
      <w:divBdr>
        <w:top w:val="none" w:sz="0" w:space="0" w:color="auto"/>
        <w:left w:val="none" w:sz="0" w:space="0" w:color="auto"/>
        <w:bottom w:val="none" w:sz="0" w:space="0" w:color="auto"/>
        <w:right w:val="none" w:sz="0" w:space="0" w:color="auto"/>
      </w:divBdr>
    </w:div>
    <w:div w:id="194926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2052</Words>
  <Characters>11699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2</cp:revision>
  <dcterms:created xsi:type="dcterms:W3CDTF">2026-08-29T18:46:00Z</dcterms:created>
  <dcterms:modified xsi:type="dcterms:W3CDTF">2026-08-29T18:46:00Z</dcterms:modified>
</cp:coreProperties>
</file>