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797E5" w14:textId="68E4FC90" w:rsidR="00752C75" w:rsidRPr="00E1488F" w:rsidRDefault="00752C75" w:rsidP="00752C75">
      <w:pPr>
        <w:jc w:val="both"/>
        <w:rPr>
          <w:rFonts w:cstheme="minorHAnsi"/>
          <w:b/>
          <w:bCs/>
          <w:sz w:val="44"/>
          <w:szCs w:val="44"/>
          <w:u w:val="single"/>
          <w:rtl/>
        </w:rPr>
      </w:pPr>
      <w:r w:rsidRPr="00E1488F">
        <w:rPr>
          <w:rFonts w:cstheme="minorHAnsi" w:hint="cs"/>
          <w:b/>
          <w:bCs/>
          <w:sz w:val="44"/>
          <w:szCs w:val="44"/>
          <w:highlight w:val="lightGray"/>
          <w:u w:val="single"/>
          <w:rtl/>
        </w:rPr>
        <w:t>المحاضرة ال</w:t>
      </w:r>
      <w:r>
        <w:rPr>
          <w:rFonts w:cstheme="minorHAnsi" w:hint="cs"/>
          <w:b/>
          <w:bCs/>
          <w:sz w:val="44"/>
          <w:szCs w:val="44"/>
          <w:highlight w:val="lightGray"/>
          <w:u w:val="single"/>
          <w:rtl/>
        </w:rPr>
        <w:t>ثامنة</w:t>
      </w:r>
      <w:r>
        <w:rPr>
          <w:rFonts w:cstheme="minorHAnsi" w:hint="cs"/>
          <w:b/>
          <w:bCs/>
          <w:sz w:val="44"/>
          <w:szCs w:val="44"/>
          <w:highlight w:val="lightGray"/>
          <w:u w:val="single"/>
          <w:rtl/>
        </w:rPr>
        <w:t>/</w:t>
      </w:r>
      <w:r w:rsidRPr="00E1488F">
        <w:rPr>
          <w:rFonts w:cstheme="minorHAnsi" w:hint="cs"/>
          <w:b/>
          <w:bCs/>
          <w:sz w:val="44"/>
          <w:szCs w:val="44"/>
          <w:highlight w:val="lightGray"/>
          <w:rtl/>
        </w:rPr>
        <w:t xml:space="preserve"> </w:t>
      </w:r>
      <w:r w:rsidRPr="00E1488F">
        <w:rPr>
          <w:rFonts w:cstheme="minorHAnsi"/>
          <w:b/>
          <w:bCs/>
          <w:sz w:val="44"/>
          <w:szCs w:val="44"/>
          <w:highlight w:val="lightGray"/>
          <w:u w:val="single"/>
          <w:rtl/>
        </w:rPr>
        <w:t>وهناك العديد من المبادئ والبروتوكولات المكملة للعهد الدولي، تتمثل بالآتي:</w:t>
      </w:r>
    </w:p>
    <w:p w14:paraId="529AEFDA" w14:textId="77777777" w:rsidR="00752C75" w:rsidRPr="00ED2D06" w:rsidRDefault="00752C75" w:rsidP="00752C75">
      <w:pPr>
        <w:jc w:val="both"/>
        <w:rPr>
          <w:rFonts w:cstheme="minorHAnsi"/>
          <w:b/>
          <w:bCs/>
          <w:sz w:val="36"/>
          <w:szCs w:val="36"/>
          <w:rtl/>
        </w:rPr>
      </w:pPr>
    </w:p>
    <w:p w14:paraId="1CF058DC"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ا. مبادئ </w:t>
      </w:r>
      <w:proofErr w:type="spellStart"/>
      <w:r w:rsidRPr="00ED2D06">
        <w:rPr>
          <w:rFonts w:cstheme="minorHAnsi"/>
          <w:b/>
          <w:bCs/>
          <w:sz w:val="36"/>
          <w:szCs w:val="36"/>
          <w:rtl/>
        </w:rPr>
        <w:t>ليمبورغ</w:t>
      </w:r>
      <w:proofErr w:type="spellEnd"/>
      <w:r w:rsidRPr="00ED2D06">
        <w:rPr>
          <w:rFonts w:cstheme="minorHAnsi"/>
          <w:b/>
          <w:bCs/>
          <w:sz w:val="36"/>
          <w:szCs w:val="36"/>
          <w:rtl/>
        </w:rPr>
        <w:t xml:space="preserve"> بشأن تنفيذ العهد الدولي الخاص بالحقوق الاقتصادية والاجتماعية والثقافية</w:t>
      </w:r>
      <w:r>
        <w:rPr>
          <w:rFonts w:cstheme="minorHAnsi" w:hint="cs"/>
          <w:b/>
          <w:bCs/>
          <w:sz w:val="36"/>
          <w:szCs w:val="36"/>
          <w:rtl/>
        </w:rPr>
        <w:t xml:space="preserve"> </w:t>
      </w:r>
      <w:r w:rsidRPr="00ED2D06">
        <w:rPr>
          <w:rFonts w:cstheme="minorHAnsi"/>
          <w:b/>
          <w:bCs/>
          <w:sz w:val="36"/>
          <w:szCs w:val="36"/>
          <w:rtl/>
        </w:rPr>
        <w:t>العام ١٩٨٦</w:t>
      </w:r>
    </w:p>
    <w:p w14:paraId="4B8DC185" w14:textId="77777777" w:rsidR="00752C75" w:rsidRPr="00ED2D06" w:rsidRDefault="00752C75" w:rsidP="00752C75">
      <w:pPr>
        <w:spacing w:line="360" w:lineRule="auto"/>
        <w:jc w:val="both"/>
        <w:rPr>
          <w:rFonts w:cstheme="minorHAnsi"/>
          <w:b/>
          <w:bCs/>
          <w:sz w:val="36"/>
          <w:szCs w:val="36"/>
          <w:rtl/>
        </w:rPr>
      </w:pPr>
    </w:p>
    <w:p w14:paraId="1845DDBE"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ر كرب البروتوكول الاختياري الملحق بالعهد الدولي الخاص بالحقوق الاقتصادية والاجتماعية والثقافية لعام </w:t>
      </w:r>
      <w:r w:rsidRPr="00ED2D06">
        <w:rPr>
          <w:rFonts w:cstheme="minorHAnsi"/>
          <w:b/>
          <w:bCs/>
          <w:sz w:val="36"/>
          <w:szCs w:val="36"/>
          <w:rtl/>
          <w:lang w:bidi="fa-IR"/>
        </w:rPr>
        <w:t>۲۰۰</w:t>
      </w:r>
      <w:r w:rsidRPr="00ED2D06">
        <w:rPr>
          <w:rFonts w:cstheme="minorHAnsi"/>
          <w:b/>
          <w:bCs/>
          <w:sz w:val="36"/>
          <w:szCs w:val="36"/>
          <w:rtl/>
        </w:rPr>
        <w:t xml:space="preserve">٨ </w:t>
      </w:r>
      <w:r>
        <w:rPr>
          <w:rFonts w:cstheme="minorHAnsi" w:hint="cs"/>
          <w:b/>
          <w:bCs/>
          <w:sz w:val="36"/>
          <w:szCs w:val="36"/>
          <w:rtl/>
        </w:rPr>
        <w:t xml:space="preserve">اذ </w:t>
      </w:r>
      <w:r w:rsidRPr="00ED2D06">
        <w:rPr>
          <w:rFonts w:cstheme="minorHAnsi"/>
          <w:b/>
          <w:bCs/>
          <w:sz w:val="36"/>
          <w:szCs w:val="36"/>
          <w:rtl/>
        </w:rPr>
        <w:t>يسمح هذا البروتوكول تقديم الشكاوى الفردية والتقارير الحكومية للدول التي صدقت عليه إلى لجنة الحقوق الاقتصادية والاجتماعية والثقافية).</w:t>
      </w:r>
    </w:p>
    <w:p w14:paraId="4B586E02" w14:textId="77777777" w:rsidR="00752C75" w:rsidRPr="00ED2D06" w:rsidRDefault="00752C75" w:rsidP="00752C75">
      <w:pPr>
        <w:spacing w:line="360" w:lineRule="auto"/>
        <w:jc w:val="both"/>
        <w:rPr>
          <w:rFonts w:cstheme="minorHAnsi"/>
          <w:b/>
          <w:bCs/>
          <w:sz w:val="36"/>
          <w:szCs w:val="36"/>
          <w:rtl/>
        </w:rPr>
      </w:pPr>
    </w:p>
    <w:p w14:paraId="1A810E1B"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ولقد ارتبط هذا العهد بالحياة اليومية للأفراد في غالبية شعوب العالم، بسبب تعلقه بموضوع العدالة الصحية، ومستوى الفقر، وأزمات السكن، والأسرة والطفولة والمستوى التعليمي والثقافي، وغيرها من الموضوعات.</w:t>
      </w:r>
    </w:p>
    <w:p w14:paraId="6406F14E" w14:textId="118368C8" w:rsidR="00752C75" w:rsidRDefault="00752C75" w:rsidP="00752C75">
      <w:pPr>
        <w:spacing w:line="360" w:lineRule="auto"/>
        <w:jc w:val="both"/>
        <w:rPr>
          <w:rFonts w:cstheme="minorHAnsi"/>
          <w:b/>
          <w:bCs/>
          <w:sz w:val="36"/>
          <w:szCs w:val="36"/>
          <w:rtl/>
        </w:rPr>
      </w:pPr>
    </w:p>
    <w:p w14:paraId="79578A75" w14:textId="2E67A77C" w:rsidR="00752C75" w:rsidRDefault="00752C75" w:rsidP="00752C75">
      <w:pPr>
        <w:spacing w:line="360" w:lineRule="auto"/>
        <w:jc w:val="both"/>
        <w:rPr>
          <w:rFonts w:cstheme="minorHAnsi"/>
          <w:b/>
          <w:bCs/>
          <w:sz w:val="36"/>
          <w:szCs w:val="36"/>
          <w:rtl/>
        </w:rPr>
      </w:pPr>
    </w:p>
    <w:p w14:paraId="599118FC" w14:textId="2E786CB1" w:rsidR="00752C75" w:rsidRDefault="00752C75" w:rsidP="00752C75">
      <w:pPr>
        <w:spacing w:line="360" w:lineRule="auto"/>
        <w:jc w:val="both"/>
        <w:rPr>
          <w:rFonts w:cstheme="minorHAnsi"/>
          <w:b/>
          <w:bCs/>
          <w:sz w:val="36"/>
          <w:szCs w:val="36"/>
          <w:rtl/>
        </w:rPr>
      </w:pPr>
    </w:p>
    <w:p w14:paraId="5CEE806A" w14:textId="77777777" w:rsidR="00752C75" w:rsidRPr="00ED2D06" w:rsidRDefault="00752C75" w:rsidP="00752C75">
      <w:pPr>
        <w:spacing w:line="360" w:lineRule="auto"/>
        <w:jc w:val="both"/>
        <w:rPr>
          <w:rFonts w:cstheme="minorHAnsi"/>
          <w:b/>
          <w:bCs/>
          <w:sz w:val="36"/>
          <w:szCs w:val="36"/>
          <w:rtl/>
        </w:rPr>
      </w:pPr>
    </w:p>
    <w:p w14:paraId="796432D2" w14:textId="77777777" w:rsidR="00752C75" w:rsidRPr="002A42F7" w:rsidRDefault="00752C75" w:rsidP="00752C75">
      <w:pPr>
        <w:spacing w:line="360" w:lineRule="auto"/>
        <w:jc w:val="both"/>
        <w:rPr>
          <w:rFonts w:cstheme="minorHAnsi"/>
          <w:b/>
          <w:bCs/>
          <w:sz w:val="36"/>
          <w:szCs w:val="36"/>
          <w:u w:val="single"/>
          <w:rtl/>
        </w:rPr>
      </w:pPr>
      <w:proofErr w:type="gramStart"/>
      <w:r w:rsidRPr="002A42F7">
        <w:rPr>
          <w:rFonts w:cstheme="minorHAnsi"/>
          <w:b/>
          <w:bCs/>
          <w:sz w:val="36"/>
          <w:szCs w:val="36"/>
          <w:highlight w:val="lightGray"/>
          <w:u w:val="single"/>
          <w:rtl/>
        </w:rPr>
        <w:lastRenderedPageBreak/>
        <w:t>ثالثاً :</w:t>
      </w:r>
      <w:proofErr w:type="gramEnd"/>
      <w:r w:rsidRPr="002A42F7">
        <w:rPr>
          <w:rFonts w:cstheme="minorHAnsi"/>
          <w:b/>
          <w:bCs/>
          <w:sz w:val="36"/>
          <w:szCs w:val="36"/>
          <w:highlight w:val="lightGray"/>
          <w:u w:val="single"/>
          <w:rtl/>
        </w:rPr>
        <w:t xml:space="preserve"> إطار الشرعة الدولية لحقوق الإنسان</w:t>
      </w:r>
      <w:r>
        <w:rPr>
          <w:rFonts w:cstheme="minorHAnsi" w:hint="cs"/>
          <w:b/>
          <w:bCs/>
          <w:sz w:val="36"/>
          <w:szCs w:val="36"/>
          <w:u w:val="single"/>
          <w:rtl/>
        </w:rPr>
        <w:t>:</w:t>
      </w:r>
    </w:p>
    <w:p w14:paraId="13FE9B4D" w14:textId="77777777" w:rsidR="00752C75" w:rsidRPr="00ED2D06" w:rsidRDefault="00752C75" w:rsidP="00752C75">
      <w:pPr>
        <w:spacing w:line="360" w:lineRule="auto"/>
        <w:jc w:val="both"/>
        <w:rPr>
          <w:rFonts w:cstheme="minorHAnsi"/>
          <w:b/>
          <w:bCs/>
          <w:sz w:val="36"/>
          <w:szCs w:val="36"/>
          <w:rtl/>
        </w:rPr>
      </w:pPr>
    </w:p>
    <w:p w14:paraId="299899F0"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تعكس صياغة العهدين الدولتين لحقوق الإنسان لسنة ١٩٦٦ عالمية مضمونهما، فقد كررا المبادئ نفسها الواردة في الإعلان العالمي لحقوق الإنسان لعام </w:t>
      </w:r>
      <w:r w:rsidRPr="00ED2D06">
        <w:rPr>
          <w:rFonts w:cstheme="minorHAnsi"/>
          <w:b/>
          <w:bCs/>
          <w:sz w:val="36"/>
          <w:szCs w:val="36"/>
          <w:rtl/>
          <w:lang w:bidi="fa-IR"/>
        </w:rPr>
        <w:t>۱۹</w:t>
      </w:r>
      <w:r w:rsidRPr="00ED2D06">
        <w:rPr>
          <w:rFonts w:cstheme="minorHAnsi"/>
          <w:b/>
          <w:bCs/>
          <w:sz w:val="36"/>
          <w:szCs w:val="36"/>
          <w:rtl/>
        </w:rPr>
        <w:t>٤٨، غير أن العهدين كانا أكثر تفصيلا في تنظيم حقوق الإنسان، بسبب التطورات الدولية. ولهذا توصف العلاقة بين تلك الوثائق الثلاثة بأنها علاقة متكاملة، فالإعلان العالمي بعد الأساس الأخلاقي والسياسي الذي مهد لولادة العهدين الدوليين، ليكونا الأساس القانوني لحقوق الإنسان عالميا.</w:t>
      </w:r>
    </w:p>
    <w:p w14:paraId="5E56522B" w14:textId="77777777" w:rsidR="00752C75" w:rsidRPr="00ED2D06" w:rsidRDefault="00752C75" w:rsidP="00752C75">
      <w:pPr>
        <w:spacing w:line="360" w:lineRule="auto"/>
        <w:jc w:val="both"/>
        <w:rPr>
          <w:rFonts w:cstheme="minorHAnsi"/>
          <w:b/>
          <w:bCs/>
          <w:sz w:val="36"/>
          <w:szCs w:val="36"/>
          <w:rtl/>
        </w:rPr>
      </w:pPr>
    </w:p>
    <w:p w14:paraId="309B2E7D"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ويطلق على هذه الوثائق الثلاث وملاحقها الشرعة الدولية لحقوق الإنسان)، وينبغي النظر إليها ككتلة واحدة، فعلى أساسها ظهر الاعتراف بحقوق الإنسان على المستوى الدولي، وبالاستناد إليها قسمت الحقوق إلى فئتين مدنية وسياسية - اقتصادية واجتماعية وثقافية، وكذلك فتحت الباب امام إبرام</w:t>
      </w:r>
    </w:p>
    <w:p w14:paraId="4C533658" w14:textId="77777777" w:rsidR="00752C75" w:rsidRDefault="00752C75" w:rsidP="00752C75">
      <w:pPr>
        <w:spacing w:line="360" w:lineRule="auto"/>
        <w:jc w:val="both"/>
        <w:rPr>
          <w:rFonts w:cstheme="minorHAnsi"/>
          <w:b/>
          <w:bCs/>
          <w:sz w:val="36"/>
          <w:szCs w:val="36"/>
          <w:rtl/>
        </w:rPr>
      </w:pPr>
    </w:p>
    <w:p w14:paraId="2F58AC01" w14:textId="77777777" w:rsidR="00752C75" w:rsidRDefault="00752C75" w:rsidP="00752C75">
      <w:pPr>
        <w:spacing w:line="360" w:lineRule="auto"/>
        <w:jc w:val="both"/>
        <w:rPr>
          <w:rFonts w:cstheme="minorHAnsi"/>
          <w:b/>
          <w:bCs/>
          <w:sz w:val="36"/>
          <w:szCs w:val="36"/>
          <w:rtl/>
        </w:rPr>
      </w:pPr>
    </w:p>
    <w:p w14:paraId="77CB7AA0"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اتفاقيات خاصة بكل فئة من الحقوق لاحقا، بل إنها تمثل التدوين القانوني لأشهر معايير عالمية لحقوق الإنسان اتفقت عليها الدول في العصر الحديث، وقد جسدت هذه الوثائق التحول التاريخي في القانون الدولي نحو حقوق الإنسان </w:t>
      </w:r>
      <w:r w:rsidRPr="00ED2D06">
        <w:rPr>
          <w:rFonts w:cstheme="minorHAnsi"/>
          <w:b/>
          <w:bCs/>
          <w:sz w:val="36"/>
          <w:szCs w:val="36"/>
          <w:rtl/>
        </w:rPr>
        <w:lastRenderedPageBreak/>
        <w:t xml:space="preserve">بشكل يتناغم مع المبادئ العالمية، وأهمها المبدأ الوارد في ديباجة ميثاق منظمة الأمم المتحدة لسنة </w:t>
      </w:r>
      <w:proofErr w:type="gramStart"/>
      <w:r w:rsidRPr="00ED2D06">
        <w:rPr>
          <w:rFonts w:cstheme="minorHAnsi"/>
          <w:b/>
          <w:bCs/>
          <w:sz w:val="36"/>
          <w:szCs w:val="36"/>
          <w:rtl/>
        </w:rPr>
        <w:t>١٩٤٥ :</w:t>
      </w:r>
      <w:proofErr w:type="gramEnd"/>
      <w:r w:rsidRPr="00ED2D06">
        <w:rPr>
          <w:rFonts w:cstheme="minorHAnsi"/>
          <w:b/>
          <w:bCs/>
          <w:sz w:val="36"/>
          <w:szCs w:val="36"/>
          <w:rtl/>
        </w:rPr>
        <w:t xml:space="preserve"> نحن شعوب الأمم المتحدة، وقد ألينا على أنفسنا أن تجنب الأجيال القادمة ويلات الحروب.</w:t>
      </w:r>
    </w:p>
    <w:p w14:paraId="542C4B47" w14:textId="77777777" w:rsidR="00752C75" w:rsidRPr="00ED2D06" w:rsidRDefault="00752C75" w:rsidP="00752C75">
      <w:pPr>
        <w:spacing w:line="360" w:lineRule="auto"/>
        <w:jc w:val="both"/>
        <w:rPr>
          <w:rFonts w:cstheme="minorHAnsi"/>
          <w:b/>
          <w:bCs/>
          <w:sz w:val="36"/>
          <w:szCs w:val="36"/>
          <w:rtl/>
        </w:rPr>
      </w:pPr>
    </w:p>
    <w:p w14:paraId="4250C613"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ولهذا فإن هذه الوثائق تحظى بأهمية كبيرة، ويتوجب على الدول احترام أحكامها، سواء أكانت قواعد أدبية أم أخلاقية، كالتي وردت في الإعلان العالمي لحقوق الإنسان، أم كانت قواعد قانونية ملزمة قانونا، كالعهدين الدوليين لسنة ١٩٦٦.</w:t>
      </w:r>
    </w:p>
    <w:p w14:paraId="2FCB943B" w14:textId="77777777" w:rsidR="00752C75" w:rsidRPr="00ED2D06" w:rsidRDefault="00752C75" w:rsidP="00752C75">
      <w:pPr>
        <w:spacing w:line="360" w:lineRule="auto"/>
        <w:jc w:val="both"/>
        <w:rPr>
          <w:rFonts w:cstheme="minorHAnsi"/>
          <w:b/>
          <w:bCs/>
          <w:sz w:val="36"/>
          <w:szCs w:val="36"/>
          <w:rtl/>
        </w:rPr>
      </w:pPr>
    </w:p>
    <w:p w14:paraId="3002604B"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العراق المطلب الثاني: الآليات الوطنية والإجرائية لتطبيق الشرعة الدولية لحقوق الإنسان في</w:t>
      </w:r>
    </w:p>
    <w:p w14:paraId="6634F450" w14:textId="77777777" w:rsidR="00752C75" w:rsidRPr="00ED2D06" w:rsidRDefault="00752C75" w:rsidP="00752C75">
      <w:pPr>
        <w:spacing w:line="360" w:lineRule="auto"/>
        <w:jc w:val="both"/>
        <w:rPr>
          <w:rFonts w:cstheme="minorHAnsi"/>
          <w:b/>
          <w:bCs/>
          <w:sz w:val="36"/>
          <w:szCs w:val="36"/>
          <w:rtl/>
        </w:rPr>
      </w:pPr>
    </w:p>
    <w:p w14:paraId="188D7D74"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إن تطبيق الاتفاقيات الدولية الخاصة بحقوق الإنسان داخل الدولة يحتاج إلى تشريع (قانون داخلي)، لتسهل تنفيذ هذه الاتفاقية، ولكن قبل ذلك يتوجب التوقيع الرسمي على الاتفاقية من قبل السلطة التنفيذية (رئيس الدولة، أو الوزراء، أو أحد الوزراء)، ويلي ذلك مرحلة التصديق أو الانضمام إلى الاتفاقية، فبعد التوقيع على المعاهدة تقوم السلطة التشريعية في الدولة بتشريع قانون داخلي لتنفيذ الاتفاقية داخل </w:t>
      </w:r>
      <w:proofErr w:type="gramStart"/>
      <w:r w:rsidRPr="00ED2D06">
        <w:rPr>
          <w:rFonts w:cstheme="minorHAnsi"/>
          <w:b/>
          <w:bCs/>
          <w:sz w:val="36"/>
          <w:szCs w:val="36"/>
          <w:rtl/>
        </w:rPr>
        <w:t xml:space="preserve">الدولة </w:t>
      </w:r>
      <w:r>
        <w:rPr>
          <w:rFonts w:cstheme="minorHAnsi" w:hint="cs"/>
          <w:b/>
          <w:bCs/>
          <w:sz w:val="36"/>
          <w:szCs w:val="36"/>
          <w:rtl/>
        </w:rPr>
        <w:t>.</w:t>
      </w:r>
      <w:proofErr w:type="gramEnd"/>
    </w:p>
    <w:p w14:paraId="07127D32" w14:textId="77777777" w:rsidR="00752C75" w:rsidRPr="00ED2D06" w:rsidRDefault="00752C75" w:rsidP="00752C75">
      <w:pPr>
        <w:spacing w:line="360" w:lineRule="auto"/>
        <w:jc w:val="both"/>
        <w:rPr>
          <w:rFonts w:cstheme="minorHAnsi"/>
          <w:b/>
          <w:bCs/>
          <w:sz w:val="36"/>
          <w:szCs w:val="36"/>
          <w:rtl/>
        </w:rPr>
      </w:pPr>
    </w:p>
    <w:p w14:paraId="6B59A786"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lastRenderedPageBreak/>
        <w:t xml:space="preserve">وفي دستور جمهورية العراق لسنة </w:t>
      </w:r>
      <w:r w:rsidRPr="00ED2D06">
        <w:rPr>
          <w:rFonts w:cstheme="minorHAnsi"/>
          <w:b/>
          <w:bCs/>
          <w:sz w:val="36"/>
          <w:szCs w:val="36"/>
          <w:rtl/>
          <w:lang w:bidi="fa-IR"/>
        </w:rPr>
        <w:t>۲۰۰۵</w:t>
      </w:r>
      <w:r w:rsidRPr="00ED2D06">
        <w:rPr>
          <w:rFonts w:cstheme="minorHAnsi"/>
          <w:b/>
          <w:bCs/>
          <w:sz w:val="36"/>
          <w:szCs w:val="36"/>
          <w:rtl/>
        </w:rPr>
        <w:t xml:space="preserve"> يختص مجلس النواب بالمصادقة النهائية على المعاهدات والاتفاقيات الدولية، إذ يتم تطبيق الاتفاقية أو المعاهدة داخل العراق من خلال قانون يشرعه مجلس النواب يسمى بـ (قانون الانضمام)، أو (قانون التصديق</w:t>
      </w:r>
      <w:proofErr w:type="gramStart"/>
      <w:r w:rsidRPr="00ED2D06">
        <w:rPr>
          <w:rFonts w:cstheme="minorHAnsi"/>
          <w:b/>
          <w:bCs/>
          <w:sz w:val="36"/>
          <w:szCs w:val="36"/>
          <w:rtl/>
        </w:rPr>
        <w:t xml:space="preserve">) </w:t>
      </w:r>
      <w:r>
        <w:rPr>
          <w:rFonts w:cstheme="minorHAnsi" w:hint="cs"/>
          <w:b/>
          <w:bCs/>
          <w:sz w:val="36"/>
          <w:szCs w:val="36"/>
          <w:rtl/>
        </w:rPr>
        <w:t>.</w:t>
      </w:r>
      <w:proofErr w:type="gramEnd"/>
    </w:p>
    <w:p w14:paraId="697CC101" w14:textId="77777777" w:rsidR="00752C75" w:rsidRPr="00ED2D06" w:rsidRDefault="00752C75" w:rsidP="00752C75">
      <w:pPr>
        <w:spacing w:line="360" w:lineRule="auto"/>
        <w:jc w:val="both"/>
        <w:rPr>
          <w:rFonts w:cstheme="minorHAnsi"/>
          <w:b/>
          <w:bCs/>
          <w:sz w:val="36"/>
          <w:szCs w:val="36"/>
          <w:rtl/>
        </w:rPr>
      </w:pPr>
    </w:p>
    <w:p w14:paraId="720530FB"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وزاد الدستور العراقي ضمانة قانونية تنسجم مع أحكام الشرعة الدولية لحقوق الإنسان، إذ نص على منع تقييد الحقوق والحريات الواردة في الدستور أو تحديدها إلا بقانون يصدر من السلطة التشريعية أو</w:t>
      </w:r>
    </w:p>
    <w:p w14:paraId="4C35036C" w14:textId="77777777" w:rsidR="00752C75" w:rsidRPr="00ED2D06" w:rsidRDefault="00752C75" w:rsidP="00752C75">
      <w:pPr>
        <w:spacing w:line="360" w:lineRule="auto"/>
        <w:jc w:val="both"/>
        <w:rPr>
          <w:rFonts w:cstheme="minorHAnsi"/>
          <w:b/>
          <w:bCs/>
          <w:sz w:val="36"/>
          <w:szCs w:val="36"/>
          <w:rtl/>
        </w:rPr>
      </w:pPr>
    </w:p>
    <w:p w14:paraId="28D111FD" w14:textId="77777777" w:rsidR="00752C75" w:rsidRPr="00ED2D06" w:rsidRDefault="00752C75" w:rsidP="00752C75">
      <w:pPr>
        <w:spacing w:line="360" w:lineRule="auto"/>
        <w:jc w:val="both"/>
        <w:rPr>
          <w:rFonts w:cstheme="minorHAnsi"/>
          <w:b/>
          <w:bCs/>
          <w:sz w:val="36"/>
          <w:szCs w:val="36"/>
        </w:rPr>
      </w:pPr>
      <w:r w:rsidRPr="00ED2D06">
        <w:rPr>
          <w:rFonts w:cstheme="minorHAnsi"/>
          <w:b/>
          <w:bCs/>
          <w:sz w:val="36"/>
          <w:szCs w:val="36"/>
          <w:rtl/>
        </w:rPr>
        <w:t>أولا: الاتفاقية الدولية للقضاء على جميع أشكال التمييز العنصري ضد المرأة لعام ١٩٧٩</w:t>
      </w:r>
      <w:r>
        <w:rPr>
          <w:rFonts w:cstheme="minorHAnsi" w:hint="cs"/>
          <w:b/>
          <w:bCs/>
          <w:sz w:val="36"/>
          <w:szCs w:val="36"/>
          <w:rtl/>
        </w:rPr>
        <w:t>(</w:t>
      </w:r>
      <w:r w:rsidRPr="00ED2D06">
        <w:rPr>
          <w:rFonts w:cstheme="minorHAnsi"/>
          <w:b/>
          <w:bCs/>
          <w:sz w:val="36"/>
          <w:szCs w:val="36"/>
        </w:rPr>
        <w:t>CEDAW</w:t>
      </w:r>
      <w:proofErr w:type="gramStart"/>
      <w:r w:rsidRPr="00ED2D06">
        <w:rPr>
          <w:rFonts w:cstheme="minorHAnsi"/>
          <w:b/>
          <w:bCs/>
          <w:sz w:val="36"/>
          <w:szCs w:val="36"/>
          <w:rtl/>
        </w:rPr>
        <w:t>)</w:t>
      </w:r>
      <w:r>
        <w:rPr>
          <w:rFonts w:cstheme="minorHAnsi" w:hint="cs"/>
          <w:b/>
          <w:bCs/>
          <w:sz w:val="36"/>
          <w:szCs w:val="36"/>
          <w:rtl/>
        </w:rPr>
        <w:t xml:space="preserve"> :</w:t>
      </w:r>
      <w:proofErr w:type="gramEnd"/>
    </w:p>
    <w:p w14:paraId="77ABE2E2" w14:textId="77777777" w:rsidR="00752C75" w:rsidRPr="00ED2D06" w:rsidRDefault="00752C75" w:rsidP="00752C75">
      <w:pPr>
        <w:spacing w:line="360" w:lineRule="auto"/>
        <w:jc w:val="both"/>
        <w:rPr>
          <w:rFonts w:cstheme="minorHAnsi"/>
          <w:b/>
          <w:bCs/>
          <w:sz w:val="36"/>
          <w:szCs w:val="36"/>
          <w:rtl/>
        </w:rPr>
      </w:pPr>
    </w:p>
    <w:p w14:paraId="182BFF5A" w14:textId="77777777" w:rsidR="00752C75" w:rsidRPr="00ED2D06" w:rsidRDefault="00752C75" w:rsidP="00752C75">
      <w:pPr>
        <w:spacing w:line="360" w:lineRule="auto"/>
        <w:jc w:val="both"/>
        <w:rPr>
          <w:rFonts w:cstheme="minorHAnsi"/>
          <w:b/>
          <w:bCs/>
          <w:sz w:val="36"/>
          <w:szCs w:val="36"/>
          <w:rtl/>
        </w:rPr>
      </w:pPr>
      <w:r w:rsidRPr="00ED2D06">
        <w:rPr>
          <w:rFonts w:cstheme="minorHAnsi"/>
          <w:b/>
          <w:bCs/>
          <w:sz w:val="36"/>
          <w:szCs w:val="36"/>
          <w:rtl/>
        </w:rPr>
        <w:t xml:space="preserve">جاءت اتفاقية </w:t>
      </w:r>
      <w:proofErr w:type="spellStart"/>
      <w:r w:rsidRPr="00ED2D06">
        <w:rPr>
          <w:rFonts w:cstheme="minorHAnsi"/>
          <w:b/>
          <w:bCs/>
          <w:sz w:val="36"/>
          <w:szCs w:val="36"/>
          <w:rtl/>
        </w:rPr>
        <w:t>سيداو</w:t>
      </w:r>
      <w:proofErr w:type="spellEnd"/>
      <w:r w:rsidRPr="00ED2D06">
        <w:rPr>
          <w:rFonts w:cstheme="minorHAnsi"/>
          <w:b/>
          <w:bCs/>
          <w:sz w:val="36"/>
          <w:szCs w:val="36"/>
          <w:rtl/>
        </w:rPr>
        <w:t xml:space="preserve"> لتحدث انقلابا بشأن نوعية الحقوق وكميتها الممنوحة للمرأة، وابتدأ تنفيذها عام </w:t>
      </w:r>
      <w:r w:rsidRPr="00ED2D06">
        <w:rPr>
          <w:rFonts w:cstheme="minorHAnsi"/>
          <w:b/>
          <w:bCs/>
          <w:sz w:val="36"/>
          <w:szCs w:val="36"/>
          <w:rtl/>
          <w:lang w:bidi="fa-IR"/>
        </w:rPr>
        <w:t>۱۱۹۸۱)</w:t>
      </w:r>
      <w:r w:rsidRPr="00ED2D06">
        <w:rPr>
          <w:rFonts w:cstheme="minorHAnsi"/>
          <w:b/>
          <w:bCs/>
          <w:sz w:val="36"/>
          <w:szCs w:val="36"/>
          <w:rtl/>
        </w:rPr>
        <w:t>، وتألفت من (</w:t>
      </w:r>
      <w:r w:rsidRPr="00ED2D06">
        <w:rPr>
          <w:rFonts w:cstheme="minorHAnsi"/>
          <w:b/>
          <w:bCs/>
          <w:sz w:val="36"/>
          <w:szCs w:val="36"/>
          <w:rtl/>
          <w:lang w:bidi="fa-IR"/>
        </w:rPr>
        <w:t xml:space="preserve">۳۰) </w:t>
      </w:r>
      <w:r w:rsidRPr="00ED2D06">
        <w:rPr>
          <w:rFonts w:cstheme="minorHAnsi"/>
          <w:b/>
          <w:bCs/>
          <w:sz w:val="36"/>
          <w:szCs w:val="36"/>
          <w:rtl/>
        </w:rPr>
        <w:t xml:space="preserve">مادة، وعرفت التمييز الموجه ضد المرأة بأنه أي شكل من أشكال الإقصاء أو التمييز أو الحد من الحقوق، الذي يستند إلى الجنس، ويهدف إلى إضعاف الاعتراف الكامل بحقوق المرأة الإنسانية وحرياتها الأساسية، أو عرقلة ممارستها لها على أساس المساواة </w:t>
      </w:r>
      <w:r w:rsidRPr="00ED2D06">
        <w:rPr>
          <w:rFonts w:cstheme="minorHAnsi"/>
          <w:b/>
          <w:bCs/>
          <w:sz w:val="36"/>
          <w:szCs w:val="36"/>
          <w:rtl/>
        </w:rPr>
        <w:lastRenderedPageBreak/>
        <w:t xml:space="preserve">مع الرجل، وذلك في مختلف ميادين الحياة السياسية والاقتصادية والاجتماعية والثقافية والمدنية أو ميادين الحياة العامة، من دون اعتبار لحالتها </w:t>
      </w:r>
      <w:proofErr w:type="gramStart"/>
      <w:r w:rsidRPr="00ED2D06">
        <w:rPr>
          <w:rFonts w:cstheme="minorHAnsi"/>
          <w:b/>
          <w:bCs/>
          <w:sz w:val="36"/>
          <w:szCs w:val="36"/>
          <w:rtl/>
        </w:rPr>
        <w:t xml:space="preserve">الزوجية </w:t>
      </w:r>
      <w:r>
        <w:rPr>
          <w:rFonts w:cstheme="minorHAnsi" w:hint="cs"/>
          <w:b/>
          <w:bCs/>
          <w:sz w:val="36"/>
          <w:szCs w:val="36"/>
          <w:rtl/>
        </w:rPr>
        <w:t>.</w:t>
      </w:r>
      <w:proofErr w:type="gramEnd"/>
    </w:p>
    <w:sectPr w:rsidR="00752C75" w:rsidRPr="00ED2D06"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2E7D9" w14:textId="77777777" w:rsidR="00A0553E" w:rsidRDefault="00A0553E" w:rsidP="003341E3">
      <w:pPr>
        <w:spacing w:after="0" w:line="240" w:lineRule="auto"/>
      </w:pPr>
      <w:r>
        <w:separator/>
      </w:r>
    </w:p>
  </w:endnote>
  <w:endnote w:type="continuationSeparator" w:id="0">
    <w:p w14:paraId="5FE6E415" w14:textId="77777777" w:rsidR="00A0553E" w:rsidRDefault="00A0553E" w:rsidP="0033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64385107"/>
      <w:docPartObj>
        <w:docPartGallery w:val="Page Numbers (Bottom of Page)"/>
        <w:docPartUnique/>
      </w:docPartObj>
    </w:sdtPr>
    <w:sdtContent>
      <w:p w14:paraId="42460752" w14:textId="218E3FF5" w:rsidR="003341E3" w:rsidRDefault="003341E3">
        <w:pPr>
          <w:pStyle w:val="a4"/>
          <w:jc w:val="center"/>
        </w:pPr>
        <w:r>
          <w:fldChar w:fldCharType="begin"/>
        </w:r>
        <w:r>
          <w:instrText>PAGE   \* MERGEFORMAT</w:instrText>
        </w:r>
        <w:r>
          <w:fldChar w:fldCharType="separate"/>
        </w:r>
        <w:r>
          <w:rPr>
            <w:rtl/>
            <w:lang w:val="ar-SA"/>
          </w:rPr>
          <w:t>2</w:t>
        </w:r>
        <w:r>
          <w:fldChar w:fldCharType="end"/>
        </w:r>
      </w:p>
    </w:sdtContent>
  </w:sdt>
  <w:p w14:paraId="083D3AF9" w14:textId="77777777" w:rsidR="003341E3" w:rsidRDefault="003341E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95E2" w14:textId="77777777" w:rsidR="00A0553E" w:rsidRDefault="00A0553E" w:rsidP="003341E3">
      <w:pPr>
        <w:spacing w:after="0" w:line="240" w:lineRule="auto"/>
      </w:pPr>
      <w:r>
        <w:separator/>
      </w:r>
    </w:p>
  </w:footnote>
  <w:footnote w:type="continuationSeparator" w:id="0">
    <w:p w14:paraId="0629DE43" w14:textId="77777777" w:rsidR="00A0553E" w:rsidRDefault="00A0553E" w:rsidP="00334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00F"/>
    <w:rsid w:val="002E2131"/>
    <w:rsid w:val="003341E3"/>
    <w:rsid w:val="00390C9B"/>
    <w:rsid w:val="00752C75"/>
    <w:rsid w:val="009F03AA"/>
    <w:rsid w:val="00A0553E"/>
    <w:rsid w:val="00A130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6B5D7"/>
  <w15:chartTrackingRefBased/>
  <w15:docId w15:val="{B6F26FDD-E01B-4893-A931-A00AC224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C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41E3"/>
    <w:pPr>
      <w:tabs>
        <w:tab w:val="center" w:pos="4513"/>
        <w:tab w:val="right" w:pos="9026"/>
      </w:tabs>
      <w:spacing w:after="0" w:line="240" w:lineRule="auto"/>
    </w:pPr>
  </w:style>
  <w:style w:type="character" w:customStyle="1" w:styleId="Char">
    <w:name w:val="رأس الصفحة Char"/>
    <w:basedOn w:val="a0"/>
    <w:link w:val="a3"/>
    <w:uiPriority w:val="99"/>
    <w:rsid w:val="003341E3"/>
  </w:style>
  <w:style w:type="paragraph" w:styleId="a4">
    <w:name w:val="footer"/>
    <w:basedOn w:val="a"/>
    <w:link w:val="Char0"/>
    <w:uiPriority w:val="99"/>
    <w:unhideWhenUsed/>
    <w:rsid w:val="003341E3"/>
    <w:pPr>
      <w:tabs>
        <w:tab w:val="center" w:pos="4513"/>
        <w:tab w:val="right" w:pos="9026"/>
      </w:tabs>
      <w:spacing w:after="0" w:line="240" w:lineRule="auto"/>
    </w:pPr>
  </w:style>
  <w:style w:type="character" w:customStyle="1" w:styleId="Char0">
    <w:name w:val="تذييل الصفحة Char"/>
    <w:basedOn w:val="a0"/>
    <w:link w:val="a4"/>
    <w:uiPriority w:val="99"/>
    <w:rsid w:val="00334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518</Words>
  <Characters>2953</Characters>
  <Application>Microsoft Office Word</Application>
  <DocSecurity>0</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2026-08-31T13:09:00Z</dcterms:created>
  <dcterms:modified xsi:type="dcterms:W3CDTF">2026-08-31T13:10:00Z</dcterms:modified>
</cp:coreProperties>
</file>