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177A7" w14:textId="54BC4B74" w:rsidR="0070211A" w:rsidRPr="00ED2D06" w:rsidRDefault="0070211A" w:rsidP="0070211A">
      <w:pPr>
        <w:jc w:val="both"/>
        <w:rPr>
          <w:rFonts w:cstheme="minorHAnsi"/>
          <w:b/>
          <w:bCs/>
          <w:sz w:val="36"/>
          <w:szCs w:val="36"/>
          <w:rtl/>
        </w:rPr>
      </w:pPr>
      <w:r>
        <w:rPr>
          <w:rFonts w:cstheme="minorHAnsi" w:hint="cs"/>
          <w:b/>
          <w:bCs/>
          <w:sz w:val="36"/>
          <w:szCs w:val="36"/>
          <w:rtl/>
        </w:rPr>
        <w:t xml:space="preserve">محاضرة </w:t>
      </w:r>
      <w:r>
        <w:rPr>
          <w:rFonts w:cstheme="minorHAnsi" w:hint="cs"/>
          <w:b/>
          <w:bCs/>
          <w:sz w:val="36"/>
          <w:szCs w:val="36"/>
          <w:rtl/>
        </w:rPr>
        <w:t>الثالثة عشر</w:t>
      </w:r>
      <w:r>
        <w:rPr>
          <w:rFonts w:cstheme="minorHAnsi" w:hint="cs"/>
          <w:b/>
          <w:bCs/>
          <w:sz w:val="36"/>
          <w:szCs w:val="36"/>
          <w:rtl/>
        </w:rPr>
        <w:t xml:space="preserve"> / </w:t>
      </w:r>
      <w:r w:rsidRPr="00ED2D06">
        <w:rPr>
          <w:rFonts w:cstheme="minorHAnsi"/>
          <w:b/>
          <w:bCs/>
          <w:sz w:val="36"/>
          <w:szCs w:val="36"/>
          <w:rtl/>
        </w:rPr>
        <w:t>المطلب الثاني: تطبيقات الانتهاكات الجسيمة لحقوق الإنسان في العراق بعد العام</w:t>
      </w:r>
      <w:r>
        <w:rPr>
          <w:rFonts w:cstheme="minorHAnsi" w:hint="cs"/>
          <w:b/>
          <w:bCs/>
          <w:sz w:val="36"/>
          <w:szCs w:val="36"/>
          <w:rtl/>
        </w:rPr>
        <w:t xml:space="preserve"> 2003:</w:t>
      </w:r>
    </w:p>
    <w:p w14:paraId="0AB82D0B" w14:textId="77777777" w:rsidR="0070211A" w:rsidRPr="00ED2D06" w:rsidRDefault="0070211A" w:rsidP="0070211A">
      <w:pPr>
        <w:jc w:val="both"/>
        <w:rPr>
          <w:rFonts w:cstheme="minorHAnsi"/>
          <w:b/>
          <w:bCs/>
          <w:sz w:val="36"/>
          <w:szCs w:val="36"/>
          <w:rtl/>
        </w:rPr>
      </w:pPr>
    </w:p>
    <w:p w14:paraId="56A4BDA3" w14:textId="77777777" w:rsidR="0070211A" w:rsidRPr="00ED2D06" w:rsidRDefault="0070211A" w:rsidP="0070211A">
      <w:pPr>
        <w:jc w:val="both"/>
        <w:rPr>
          <w:rFonts w:cstheme="minorHAnsi"/>
          <w:b/>
          <w:bCs/>
          <w:sz w:val="36"/>
          <w:szCs w:val="36"/>
          <w:rtl/>
        </w:rPr>
      </w:pPr>
      <w:r w:rsidRPr="00ED2D06">
        <w:rPr>
          <w:rFonts w:cstheme="minorHAnsi"/>
          <w:b/>
          <w:bCs/>
          <w:sz w:val="36"/>
          <w:szCs w:val="36"/>
          <w:rtl/>
        </w:rPr>
        <w:t xml:space="preserve">ارتكبت التنظيمات الإرهابية والتكفيرية، مثل القاعدة في بلاد الرافدين التي أسسها الزرقاوي، وحيش رجال الطريقة </w:t>
      </w:r>
      <w:proofErr w:type="spellStart"/>
      <w:r w:rsidRPr="00ED2D06">
        <w:rPr>
          <w:rFonts w:cstheme="minorHAnsi"/>
          <w:b/>
          <w:bCs/>
          <w:sz w:val="36"/>
          <w:szCs w:val="36"/>
          <w:rtl/>
        </w:rPr>
        <w:t>النقشبندية</w:t>
      </w:r>
      <w:proofErr w:type="spellEnd"/>
      <w:r w:rsidRPr="00ED2D06">
        <w:rPr>
          <w:rFonts w:cstheme="minorHAnsi"/>
          <w:b/>
          <w:bCs/>
          <w:sz w:val="36"/>
          <w:szCs w:val="36"/>
          <w:rtl/>
        </w:rPr>
        <w:t xml:space="preserve">، وأنصار السنة والجيش الإسلامي، وكيان (داعش) الإرهابي، وغيرها، آلاف العمليات الإرهابية وعشرات الآلاف من الجرائم بحق أبناء الشعب العراقي. وقد تجسدت هذه الجرائم في إبادة جماعية، وجرائم ضد الإنسانية، وانتهاكات جسيمة لحقوق الإنسان، منذ انهيار نظام البعث وهروب رئيسه وقياداته في 9 نيسان </w:t>
      </w:r>
      <w:r w:rsidRPr="00ED2D06">
        <w:rPr>
          <w:rFonts w:cstheme="minorHAnsi"/>
          <w:b/>
          <w:bCs/>
          <w:sz w:val="36"/>
          <w:szCs w:val="36"/>
          <w:rtl/>
          <w:lang w:bidi="fa-IR"/>
        </w:rPr>
        <w:t>۲۰۰۳</w:t>
      </w:r>
      <w:r w:rsidRPr="00ED2D06">
        <w:rPr>
          <w:rFonts w:cstheme="minorHAnsi"/>
          <w:b/>
          <w:bCs/>
          <w:sz w:val="36"/>
          <w:szCs w:val="36"/>
          <w:rtl/>
        </w:rPr>
        <w:t>م.</w:t>
      </w:r>
    </w:p>
    <w:p w14:paraId="090BEA5D" w14:textId="77777777" w:rsidR="0070211A" w:rsidRPr="00ED2D06" w:rsidRDefault="0070211A" w:rsidP="0070211A">
      <w:pPr>
        <w:jc w:val="both"/>
        <w:rPr>
          <w:rFonts w:cstheme="minorHAnsi"/>
          <w:b/>
          <w:bCs/>
          <w:sz w:val="36"/>
          <w:szCs w:val="36"/>
          <w:rtl/>
        </w:rPr>
      </w:pPr>
    </w:p>
    <w:p w14:paraId="292AA497" w14:textId="77777777" w:rsidR="0070211A" w:rsidRPr="00ED2D06" w:rsidRDefault="0070211A" w:rsidP="0070211A">
      <w:pPr>
        <w:jc w:val="both"/>
        <w:rPr>
          <w:rFonts w:cstheme="minorHAnsi"/>
          <w:b/>
          <w:bCs/>
          <w:sz w:val="36"/>
          <w:szCs w:val="36"/>
          <w:rtl/>
        </w:rPr>
      </w:pPr>
      <w:r w:rsidRPr="00ED2D06">
        <w:rPr>
          <w:rFonts w:cstheme="minorHAnsi"/>
          <w:b/>
          <w:bCs/>
          <w:sz w:val="36"/>
          <w:szCs w:val="36"/>
          <w:rtl/>
        </w:rPr>
        <w:t>استهدفت هذه الأعمال الإرهابية المدنيين العزل في الأسواق والمدارس والمساجد والحسينيات والكنائس ودور العبادة، وزائري العتبات المقدسة (</w:t>
      </w:r>
      <w:r w:rsidRPr="00ED2D06">
        <w:rPr>
          <w:rFonts w:cstheme="minorHAnsi"/>
          <w:b/>
          <w:bCs/>
          <w:sz w:val="36"/>
          <w:szCs w:val="36"/>
          <w:rtl/>
          <w:lang w:bidi="fa-IR"/>
        </w:rPr>
        <w:t>۲)</w:t>
      </w:r>
      <w:r w:rsidRPr="00ED2D06">
        <w:rPr>
          <w:rFonts w:cstheme="minorHAnsi"/>
          <w:b/>
          <w:bCs/>
          <w:sz w:val="36"/>
          <w:szCs w:val="36"/>
          <w:rtl/>
        </w:rPr>
        <w:t>، زيادة إلى استهداف الأجهزة العسكرية والأمنية،</w:t>
      </w:r>
    </w:p>
    <w:p w14:paraId="63F8EE2C" w14:textId="77777777" w:rsidR="0070211A" w:rsidRPr="00ED2D06" w:rsidRDefault="0070211A" w:rsidP="0070211A">
      <w:pPr>
        <w:jc w:val="both"/>
        <w:rPr>
          <w:rFonts w:cstheme="minorHAnsi"/>
          <w:b/>
          <w:bCs/>
          <w:sz w:val="36"/>
          <w:szCs w:val="36"/>
          <w:rtl/>
        </w:rPr>
      </w:pPr>
    </w:p>
    <w:p w14:paraId="5FD60C76" w14:textId="77777777" w:rsidR="0070211A" w:rsidRPr="00ED2D06" w:rsidRDefault="0070211A" w:rsidP="0070211A">
      <w:pPr>
        <w:jc w:val="both"/>
        <w:rPr>
          <w:rFonts w:cstheme="minorHAnsi"/>
          <w:b/>
          <w:bCs/>
          <w:sz w:val="36"/>
          <w:szCs w:val="36"/>
          <w:rtl/>
        </w:rPr>
      </w:pPr>
      <w:r w:rsidRPr="00ED2D06">
        <w:rPr>
          <w:rFonts w:cstheme="minorHAnsi"/>
          <w:b/>
          <w:bCs/>
          <w:sz w:val="36"/>
          <w:szCs w:val="36"/>
          <w:rtl/>
        </w:rPr>
        <w:t>مستخدمة الأحزمة الناسفة والعجلات المنطقة والعبوات الناسفة، فضلا عن الاغتيالات الفردية والتهجير القري لسكان مناطق متعددة، وقد بلغ الأمر ذروته في بغداد، إذ فجرت أكثر من ٢٥ سيارة مفخخة يوميا في بعض الفترات.</w:t>
      </w:r>
    </w:p>
    <w:p w14:paraId="31A8FC16" w14:textId="77777777" w:rsidR="0070211A" w:rsidRPr="00ED2D06" w:rsidRDefault="0070211A" w:rsidP="0070211A">
      <w:pPr>
        <w:jc w:val="both"/>
        <w:rPr>
          <w:rFonts w:cstheme="minorHAnsi"/>
          <w:b/>
          <w:bCs/>
          <w:sz w:val="36"/>
          <w:szCs w:val="36"/>
          <w:rtl/>
        </w:rPr>
      </w:pPr>
    </w:p>
    <w:p w14:paraId="3ADB9D14" w14:textId="77777777" w:rsidR="0070211A" w:rsidRPr="00ED2D06" w:rsidRDefault="0070211A" w:rsidP="0070211A">
      <w:pPr>
        <w:jc w:val="both"/>
        <w:rPr>
          <w:rFonts w:cstheme="minorHAnsi"/>
          <w:b/>
          <w:bCs/>
          <w:sz w:val="36"/>
          <w:szCs w:val="36"/>
          <w:rtl/>
        </w:rPr>
      </w:pPr>
      <w:r w:rsidRPr="00ED2D06">
        <w:rPr>
          <w:rFonts w:cstheme="minorHAnsi"/>
          <w:b/>
          <w:bCs/>
          <w:sz w:val="36"/>
          <w:szCs w:val="36"/>
          <w:rtl/>
        </w:rPr>
        <w:t>في مرحلة لاحقة امتدت الانتهاكات لتشمل المراقد والمقامات الدينية والمزارات المقدسة، وكذلك حدث استهداف الإمامين العسكريين في سامراء عام ٢٠٠٦م، وكانت تؤدي إلى حرب أهلية، لولا تدخل المرجعية الدينية العليا ببيانها التاريخي الذي دعا إلى ضبط النفس وكشف مخططات الإرهابيين.</w:t>
      </w:r>
    </w:p>
    <w:p w14:paraId="1625CDE0" w14:textId="77777777" w:rsidR="0070211A" w:rsidRPr="00ED2D06" w:rsidRDefault="0070211A" w:rsidP="0070211A">
      <w:pPr>
        <w:jc w:val="both"/>
        <w:rPr>
          <w:rFonts w:cstheme="minorHAnsi"/>
          <w:b/>
          <w:bCs/>
          <w:sz w:val="36"/>
          <w:szCs w:val="36"/>
          <w:rtl/>
        </w:rPr>
      </w:pPr>
    </w:p>
    <w:p w14:paraId="4357DA66" w14:textId="77777777" w:rsidR="0070211A" w:rsidRPr="00ED2D06" w:rsidRDefault="0070211A" w:rsidP="0070211A">
      <w:pPr>
        <w:jc w:val="both"/>
        <w:rPr>
          <w:rFonts w:cstheme="minorHAnsi"/>
          <w:b/>
          <w:bCs/>
          <w:sz w:val="36"/>
          <w:szCs w:val="36"/>
          <w:rtl/>
        </w:rPr>
      </w:pPr>
      <w:r w:rsidRPr="00ED2D06">
        <w:rPr>
          <w:rFonts w:cstheme="minorHAnsi"/>
          <w:b/>
          <w:bCs/>
          <w:sz w:val="36"/>
          <w:szCs w:val="36"/>
          <w:rtl/>
        </w:rPr>
        <w:lastRenderedPageBreak/>
        <w:t>غير أن هذه الانتهاكات بلغت ذروتها مع سيطرة كيان (داعش) الإرهابي على أجزاء واسعة من العراق عام ٢٠١٤م، ويمكن إجمال أبرز الجرائم المرتكبة في هذه المرحلة على النحو الآتي:</w:t>
      </w:r>
    </w:p>
    <w:p w14:paraId="1C625499" w14:textId="77777777" w:rsidR="0070211A" w:rsidRPr="00ED2D06" w:rsidRDefault="0070211A" w:rsidP="0070211A">
      <w:pPr>
        <w:jc w:val="both"/>
        <w:rPr>
          <w:rFonts w:cstheme="minorHAnsi"/>
          <w:b/>
          <w:bCs/>
          <w:sz w:val="36"/>
          <w:szCs w:val="36"/>
          <w:rtl/>
        </w:rPr>
      </w:pPr>
    </w:p>
    <w:p w14:paraId="03542762" w14:textId="77777777" w:rsidR="0070211A" w:rsidRPr="00ED2D06" w:rsidRDefault="0070211A" w:rsidP="0070211A">
      <w:pPr>
        <w:jc w:val="both"/>
        <w:rPr>
          <w:rFonts w:cstheme="minorHAnsi"/>
          <w:b/>
          <w:bCs/>
          <w:sz w:val="36"/>
          <w:szCs w:val="36"/>
          <w:rtl/>
        </w:rPr>
      </w:pPr>
      <w:r w:rsidRPr="00ED2D06">
        <w:rPr>
          <w:rFonts w:cstheme="minorHAnsi"/>
          <w:b/>
          <w:bCs/>
          <w:sz w:val="36"/>
          <w:szCs w:val="36"/>
          <w:rtl/>
        </w:rPr>
        <w:t xml:space="preserve">مجزرة نزلاء سجن </w:t>
      </w:r>
      <w:proofErr w:type="spellStart"/>
      <w:r w:rsidRPr="00ED2D06">
        <w:rPr>
          <w:rFonts w:cstheme="minorHAnsi"/>
          <w:b/>
          <w:bCs/>
          <w:sz w:val="36"/>
          <w:szCs w:val="36"/>
          <w:rtl/>
        </w:rPr>
        <w:t>بادوش</w:t>
      </w:r>
      <w:proofErr w:type="spellEnd"/>
      <w:r w:rsidRPr="00ED2D06">
        <w:rPr>
          <w:rFonts w:cstheme="minorHAnsi"/>
          <w:b/>
          <w:bCs/>
          <w:sz w:val="36"/>
          <w:szCs w:val="36"/>
          <w:rtl/>
        </w:rPr>
        <w:t xml:space="preserve">: تعد أول جريمة إبادة جماعية لكيان (داعش) الإرهابي، ارتكبها على أس طائفية ومذهبية في </w:t>
      </w:r>
      <w:r w:rsidRPr="00ED2D06">
        <w:rPr>
          <w:rFonts w:cstheme="minorHAnsi"/>
          <w:b/>
          <w:bCs/>
          <w:sz w:val="36"/>
          <w:szCs w:val="36"/>
          <w:rtl/>
          <w:lang w:bidi="fa-IR"/>
        </w:rPr>
        <w:t>۱۰</w:t>
      </w:r>
      <w:r w:rsidRPr="00ED2D06">
        <w:rPr>
          <w:rFonts w:cstheme="minorHAnsi"/>
          <w:b/>
          <w:bCs/>
          <w:sz w:val="36"/>
          <w:szCs w:val="36"/>
          <w:rtl/>
        </w:rPr>
        <w:t xml:space="preserve"> حزيران </w:t>
      </w:r>
      <w:r w:rsidRPr="00ED2D06">
        <w:rPr>
          <w:rFonts w:cstheme="minorHAnsi"/>
          <w:b/>
          <w:bCs/>
          <w:sz w:val="36"/>
          <w:szCs w:val="36"/>
          <w:rtl/>
          <w:lang w:bidi="fa-IR"/>
        </w:rPr>
        <w:t>۲۰۱</w:t>
      </w:r>
      <w:r w:rsidRPr="00ED2D06">
        <w:rPr>
          <w:rFonts w:cstheme="minorHAnsi"/>
          <w:b/>
          <w:bCs/>
          <w:sz w:val="36"/>
          <w:szCs w:val="36"/>
          <w:rtl/>
        </w:rPr>
        <w:t xml:space="preserve">٤؛ إذ قام بفرز النزلاء العزل في سجن </w:t>
      </w:r>
      <w:proofErr w:type="spellStart"/>
      <w:r w:rsidRPr="00ED2D06">
        <w:rPr>
          <w:rFonts w:cstheme="minorHAnsi"/>
          <w:b/>
          <w:bCs/>
          <w:sz w:val="36"/>
          <w:szCs w:val="36"/>
          <w:rtl/>
        </w:rPr>
        <w:t>بادوش</w:t>
      </w:r>
      <w:proofErr w:type="spellEnd"/>
      <w:r w:rsidRPr="00ED2D06">
        <w:rPr>
          <w:rFonts w:cstheme="minorHAnsi"/>
          <w:b/>
          <w:bCs/>
          <w:sz w:val="36"/>
          <w:szCs w:val="36"/>
          <w:rtl/>
        </w:rPr>
        <w:t xml:space="preserve"> المركزي بمحافظة نينوى، على وفق المذهب، وأقدم على قتل (</w:t>
      </w:r>
      <w:r w:rsidRPr="00ED2D06">
        <w:rPr>
          <w:rFonts w:cstheme="minorHAnsi"/>
          <w:b/>
          <w:bCs/>
          <w:sz w:val="36"/>
          <w:szCs w:val="36"/>
          <w:rtl/>
          <w:lang w:bidi="fa-IR"/>
        </w:rPr>
        <w:t xml:space="preserve">۱۰۰۰) </w:t>
      </w:r>
      <w:r w:rsidRPr="00ED2D06">
        <w:rPr>
          <w:rFonts w:cstheme="minorHAnsi"/>
          <w:b/>
          <w:bCs/>
          <w:sz w:val="36"/>
          <w:szCs w:val="36"/>
          <w:rtl/>
        </w:rPr>
        <w:t>ضحية من أتباع أهل البيت (عليهم السلام)، وبعض المسيحيين، والسجناء السنة ممن ساعدوا الشيعة أو غطوا لهم (1).</w:t>
      </w:r>
    </w:p>
    <w:p w14:paraId="4E779E1D" w14:textId="77777777" w:rsidR="0070211A" w:rsidRPr="00ED2D06" w:rsidRDefault="0070211A" w:rsidP="0070211A">
      <w:pPr>
        <w:jc w:val="both"/>
        <w:rPr>
          <w:rFonts w:cstheme="minorHAnsi"/>
          <w:b/>
          <w:bCs/>
          <w:sz w:val="36"/>
          <w:szCs w:val="36"/>
          <w:rtl/>
        </w:rPr>
      </w:pPr>
    </w:p>
    <w:p w14:paraId="5DF98B43" w14:textId="56A7719D" w:rsidR="0070211A" w:rsidRPr="00ED2D06" w:rsidRDefault="0070211A" w:rsidP="0070211A">
      <w:pPr>
        <w:jc w:val="both"/>
        <w:rPr>
          <w:rFonts w:cstheme="minorHAnsi"/>
          <w:b/>
          <w:bCs/>
          <w:sz w:val="36"/>
          <w:szCs w:val="36"/>
          <w:rtl/>
        </w:rPr>
      </w:pPr>
      <w:r w:rsidRPr="00ED2D06">
        <w:rPr>
          <w:rFonts w:cstheme="minorHAnsi"/>
          <w:b/>
          <w:bCs/>
          <w:sz w:val="36"/>
          <w:szCs w:val="36"/>
          <w:rtl/>
        </w:rPr>
        <w:t xml:space="preserve">جريمة مجزرة </w:t>
      </w:r>
      <w:proofErr w:type="spellStart"/>
      <w:r w:rsidRPr="00ED2D06">
        <w:rPr>
          <w:rFonts w:cstheme="minorHAnsi"/>
          <w:b/>
          <w:bCs/>
          <w:sz w:val="36"/>
          <w:szCs w:val="36"/>
          <w:rtl/>
        </w:rPr>
        <w:t>سبايكر</w:t>
      </w:r>
      <w:proofErr w:type="spellEnd"/>
      <w:r w:rsidRPr="00ED2D06">
        <w:rPr>
          <w:rFonts w:cstheme="minorHAnsi"/>
          <w:b/>
          <w:bCs/>
          <w:sz w:val="36"/>
          <w:szCs w:val="36"/>
          <w:rtl/>
        </w:rPr>
        <w:t xml:space="preserve"> وهي ثاني جريمة شارك فيها كيان (داعش) الإرهابي، وبالتعاون مع عدد من البعثيين والمتطرفين من أبناء تلك المناطق ضد مجموعة من العسكريين في قاعدة تكريت الجوية </w:t>
      </w:r>
      <w:proofErr w:type="spellStart"/>
      <w:r w:rsidRPr="00ED2D06">
        <w:rPr>
          <w:rFonts w:cstheme="minorHAnsi"/>
          <w:b/>
          <w:bCs/>
          <w:sz w:val="36"/>
          <w:szCs w:val="36"/>
          <w:rtl/>
        </w:rPr>
        <w:t>سبايكر</w:t>
      </w:r>
      <w:proofErr w:type="spellEnd"/>
      <w:r w:rsidRPr="00ED2D06">
        <w:rPr>
          <w:rFonts w:cstheme="minorHAnsi"/>
          <w:b/>
          <w:bCs/>
          <w:sz w:val="36"/>
          <w:szCs w:val="36"/>
          <w:rtl/>
        </w:rPr>
        <w:t xml:space="preserve">) التي شقيت فيما بعد قاعدة الشهيد ماجد التميمي، حيث قاموا بخداع أعداد كبيرة من الطلاب العسكريين (غير المسلحين عبر إعطائهم الأمان والوعود بإيصالهم إلى بغداد ومحافظاتهم في الوسط والجنوب، وأثناء خروجهم من المعسكر - القاعدة العسكرية - في تاريخ </w:t>
      </w:r>
      <w:r w:rsidRPr="00ED2D06">
        <w:rPr>
          <w:rFonts w:cstheme="minorHAnsi"/>
          <w:b/>
          <w:bCs/>
          <w:sz w:val="36"/>
          <w:szCs w:val="36"/>
          <w:rtl/>
          <w:lang w:bidi="fa-IR"/>
        </w:rPr>
        <w:t>۱۲</w:t>
      </w:r>
      <w:r w:rsidRPr="00ED2D06">
        <w:rPr>
          <w:rFonts w:cstheme="minorHAnsi"/>
          <w:b/>
          <w:bCs/>
          <w:sz w:val="36"/>
          <w:szCs w:val="36"/>
          <w:rtl/>
        </w:rPr>
        <w:t xml:space="preserve"> حزيران ٢٠١٤ قاموا باعتقالهم، واقتيادهم إلى القصور الرئاسية، وفرزهم على أسس دينية ومذهبية بوسائل ماكرة واختبارات دينية، وأقدموا على قتل (٢١٥٧) ضحية غالبيتهم من شيعة أهل البيت (عليهم السلام) رميا بالرصاص وإلقاء جثتهم في نهر دجلة، فيما تفلت أعداد كبيرة في مقابر جماعية توزعت بين عدد من مدن تكريت الأخرى ، وتعد هذه الجريمة من الجرائم الدولية المركبة من جريمة إبادة جماعية، وجريمة ضد الإنسانية، وجريمة حرب، فضلا عن الانتهاكات الأخرى لحقوق الإنسان</w:t>
      </w:r>
      <w:r w:rsidRPr="00ED2D06">
        <w:rPr>
          <w:rFonts w:cstheme="minorHAnsi"/>
          <w:b/>
          <w:bCs/>
          <w:sz w:val="36"/>
          <w:szCs w:val="36"/>
          <w:rtl/>
          <w:lang w:bidi="fa-IR"/>
        </w:rPr>
        <w:t>.</w:t>
      </w:r>
    </w:p>
    <w:p w14:paraId="49607A2E" w14:textId="77777777" w:rsidR="0070211A" w:rsidRPr="00ED2D06" w:rsidRDefault="0070211A" w:rsidP="0070211A">
      <w:pPr>
        <w:jc w:val="both"/>
        <w:rPr>
          <w:rFonts w:cstheme="minorHAnsi"/>
          <w:b/>
          <w:bCs/>
          <w:sz w:val="36"/>
          <w:szCs w:val="36"/>
          <w:rtl/>
        </w:rPr>
      </w:pPr>
    </w:p>
    <w:p w14:paraId="153C25AF" w14:textId="77777777" w:rsidR="0070211A" w:rsidRPr="00ED2D06" w:rsidRDefault="0070211A" w:rsidP="0070211A">
      <w:pPr>
        <w:jc w:val="both"/>
        <w:rPr>
          <w:rFonts w:cstheme="minorHAnsi"/>
          <w:b/>
          <w:bCs/>
          <w:sz w:val="36"/>
          <w:szCs w:val="36"/>
          <w:rtl/>
        </w:rPr>
      </w:pPr>
      <w:r w:rsidRPr="00ED2D06">
        <w:rPr>
          <w:rFonts w:cstheme="minorHAnsi"/>
          <w:b/>
          <w:bCs/>
          <w:sz w:val="36"/>
          <w:szCs w:val="36"/>
          <w:rtl/>
        </w:rPr>
        <w:lastRenderedPageBreak/>
        <w:t>المفاهيم التاريخية لنشأة الديمقراطية وأسسها</w:t>
      </w:r>
      <w:r>
        <w:rPr>
          <w:rFonts w:cstheme="minorHAnsi" w:hint="cs"/>
          <w:b/>
          <w:bCs/>
          <w:sz w:val="36"/>
          <w:szCs w:val="36"/>
          <w:rtl/>
        </w:rPr>
        <w:t xml:space="preserve">/ </w:t>
      </w:r>
      <w:r w:rsidRPr="00ED2D06">
        <w:rPr>
          <w:rFonts w:cstheme="minorHAnsi"/>
          <w:b/>
          <w:bCs/>
          <w:sz w:val="36"/>
          <w:szCs w:val="36"/>
          <w:rtl/>
        </w:rPr>
        <w:t>يتناول هذا المبحث النشأة الفكرية والتاريخية للديمقراطية، من خلال استعراض المفهوم وتطوره عبر العصور القديمة، بدءا من نماذج الديمقراطية المباشرة في اليونان، مرورا بدولة المدينة، وصولا إلى الانتقادات الفلسفية التي واجهتها.</w:t>
      </w:r>
    </w:p>
    <w:p w14:paraId="3F7E5E6D" w14:textId="77777777" w:rsidR="0070211A" w:rsidRPr="00ED2D06" w:rsidRDefault="0070211A" w:rsidP="0070211A">
      <w:pPr>
        <w:jc w:val="both"/>
        <w:rPr>
          <w:rFonts w:cstheme="minorHAnsi"/>
          <w:b/>
          <w:bCs/>
          <w:sz w:val="36"/>
          <w:szCs w:val="36"/>
          <w:rtl/>
        </w:rPr>
      </w:pPr>
    </w:p>
    <w:p w14:paraId="6DF949BF" w14:textId="77777777" w:rsidR="0070211A" w:rsidRPr="00ED2D06" w:rsidRDefault="0070211A" w:rsidP="0070211A">
      <w:pPr>
        <w:jc w:val="both"/>
        <w:rPr>
          <w:rFonts w:cstheme="minorHAnsi"/>
          <w:b/>
          <w:bCs/>
          <w:sz w:val="36"/>
          <w:szCs w:val="36"/>
          <w:rtl/>
        </w:rPr>
      </w:pPr>
      <w:r w:rsidRPr="00ED2D06">
        <w:rPr>
          <w:rFonts w:cstheme="minorHAnsi"/>
          <w:b/>
          <w:bCs/>
          <w:sz w:val="36"/>
          <w:szCs w:val="36"/>
          <w:rtl/>
        </w:rPr>
        <w:t>المطلب الأول: تعريف الديمقراطية:</w:t>
      </w:r>
    </w:p>
    <w:p w14:paraId="0F8F0F8A" w14:textId="77777777" w:rsidR="0070211A" w:rsidRPr="00ED2D06" w:rsidRDefault="0070211A" w:rsidP="0070211A">
      <w:pPr>
        <w:jc w:val="both"/>
        <w:rPr>
          <w:rFonts w:cstheme="minorHAnsi"/>
          <w:b/>
          <w:bCs/>
          <w:sz w:val="36"/>
          <w:szCs w:val="36"/>
          <w:rtl/>
        </w:rPr>
      </w:pPr>
    </w:p>
    <w:p w14:paraId="7E53CB04" w14:textId="77777777" w:rsidR="0070211A" w:rsidRPr="00ED2D06" w:rsidRDefault="0070211A" w:rsidP="0070211A">
      <w:pPr>
        <w:jc w:val="both"/>
        <w:rPr>
          <w:rFonts w:cstheme="minorHAnsi"/>
          <w:b/>
          <w:bCs/>
          <w:sz w:val="36"/>
          <w:szCs w:val="36"/>
          <w:rtl/>
        </w:rPr>
      </w:pPr>
      <w:r w:rsidRPr="00ED2D06">
        <w:rPr>
          <w:rFonts w:cstheme="minorHAnsi"/>
          <w:b/>
          <w:bCs/>
          <w:sz w:val="36"/>
          <w:szCs w:val="36"/>
          <w:rtl/>
        </w:rPr>
        <w:t xml:space="preserve">بعيداً عن الخوض في أدبيات العلوم السياسية حول تعريفات الديمقراطية وتفصيلاتها، فإنه يمكن القول إن أيسر تعريف للديمقراطية هو أنها حكم الشعب). وهي مشتقة من الكلمتين </w:t>
      </w:r>
      <w:proofErr w:type="gramStart"/>
      <w:r w:rsidRPr="00ED2D06">
        <w:rPr>
          <w:rFonts w:cstheme="minorHAnsi"/>
          <w:b/>
          <w:bCs/>
          <w:sz w:val="36"/>
          <w:szCs w:val="36"/>
          <w:rtl/>
        </w:rPr>
        <w:t>الإغريقيتين )حكم</w:t>
      </w:r>
      <w:proofErr w:type="gramEnd"/>
      <w:r w:rsidRPr="00ED2D06">
        <w:rPr>
          <w:rFonts w:cstheme="minorHAnsi"/>
          <w:b/>
          <w:bCs/>
          <w:sz w:val="36"/>
          <w:szCs w:val="36"/>
          <w:rtl/>
        </w:rPr>
        <w:t xml:space="preserve"> /</w:t>
      </w:r>
      <w:proofErr w:type="spellStart"/>
      <w:r w:rsidRPr="00ED2D06">
        <w:rPr>
          <w:rFonts w:cstheme="minorHAnsi"/>
          <w:b/>
          <w:bCs/>
          <w:sz w:val="36"/>
          <w:szCs w:val="36"/>
        </w:rPr>
        <w:t>kratia</w:t>
      </w:r>
      <w:proofErr w:type="spellEnd"/>
      <w:r w:rsidRPr="00ED2D06">
        <w:rPr>
          <w:rFonts w:cstheme="minorHAnsi"/>
          <w:b/>
          <w:bCs/>
          <w:sz w:val="36"/>
          <w:szCs w:val="36"/>
          <w:rtl/>
        </w:rPr>
        <w:t>(شعب)، و /</w:t>
      </w:r>
      <w:r w:rsidRPr="00ED2D06">
        <w:rPr>
          <w:rFonts w:cstheme="minorHAnsi"/>
          <w:b/>
          <w:bCs/>
          <w:sz w:val="36"/>
          <w:szCs w:val="36"/>
        </w:rPr>
        <w:t>Demos</w:t>
      </w:r>
      <w:r w:rsidRPr="00ED2D06">
        <w:rPr>
          <w:rFonts w:cstheme="minorHAnsi"/>
          <w:b/>
          <w:bCs/>
          <w:sz w:val="36"/>
          <w:szCs w:val="36"/>
          <w:rtl/>
        </w:rPr>
        <w:t>(</w:t>
      </w:r>
    </w:p>
    <w:p w14:paraId="6FA046E5" w14:textId="77777777" w:rsidR="0070211A" w:rsidRPr="00ED2D06" w:rsidRDefault="0070211A" w:rsidP="0070211A">
      <w:pPr>
        <w:jc w:val="both"/>
        <w:rPr>
          <w:rFonts w:cstheme="minorHAnsi"/>
          <w:b/>
          <w:bCs/>
          <w:sz w:val="36"/>
          <w:szCs w:val="36"/>
          <w:rtl/>
        </w:rPr>
      </w:pPr>
    </w:p>
    <w:p w14:paraId="72CCB580" w14:textId="77777777" w:rsidR="0070211A" w:rsidRPr="00ED2D06" w:rsidRDefault="0070211A" w:rsidP="0070211A">
      <w:pPr>
        <w:jc w:val="both"/>
        <w:rPr>
          <w:rFonts w:cstheme="minorHAnsi"/>
          <w:b/>
          <w:bCs/>
          <w:sz w:val="36"/>
          <w:szCs w:val="36"/>
          <w:rtl/>
        </w:rPr>
      </w:pPr>
      <w:r w:rsidRPr="00ED2D06">
        <w:rPr>
          <w:rFonts w:cstheme="minorHAnsi"/>
          <w:b/>
          <w:bCs/>
          <w:sz w:val="36"/>
          <w:szCs w:val="36"/>
          <w:rtl/>
        </w:rPr>
        <w:t xml:space="preserve">وتفهم الديمقراطية من منظور آخر على أنها "حكم الكثرة؛ وذلك استناداً إلى معيار يعتمد تصنيف أنماط الحكم وفقاً لعدد من يملكون السلطة، مثل حكم الفرد، أو القلة، أو الكثرة. وقد ارتبط هذا المعيار العددي بمعيار نوعي يقوم على تقييم من يتولى الحكم من حيث الصلاح أو الفساد، فإن كان الفرد الحاكم صالحًا سُمي ملكا"، وإذا كان فاسدًا سُمي "دكتاتوراً". أما إذا كانت القلة صالحة سميت أرستقراطية"، وإذا كانت فاسدة فهي </w:t>
      </w:r>
      <w:proofErr w:type="spellStart"/>
      <w:r w:rsidRPr="00ED2D06">
        <w:rPr>
          <w:rFonts w:cstheme="minorHAnsi"/>
          <w:b/>
          <w:bCs/>
          <w:sz w:val="36"/>
          <w:szCs w:val="36"/>
          <w:rtl/>
        </w:rPr>
        <w:t>أوليغارشية</w:t>
      </w:r>
      <w:proofErr w:type="spellEnd"/>
      <w:r w:rsidRPr="00ED2D06">
        <w:rPr>
          <w:rFonts w:cstheme="minorHAnsi"/>
          <w:b/>
          <w:bCs/>
          <w:sz w:val="36"/>
          <w:szCs w:val="36"/>
          <w:rtl/>
        </w:rPr>
        <w:t>". وبالنسبة إلى الكثرة، فإن كانت صالحة عد نظام الحكم ديمقراطيا"، وإن كانت فاسدة شمي ديماغوجيا. ومن ثم، تفهم الديمقراطية على أنها حكم الكثرة الصالحة.</w:t>
      </w:r>
    </w:p>
    <w:p w14:paraId="251FD2E3" w14:textId="77777777" w:rsidR="00390C9B" w:rsidRDefault="00390C9B"/>
    <w:sectPr w:rsidR="00390C9B"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E842C" w14:textId="77777777" w:rsidR="0095431D" w:rsidRDefault="0095431D" w:rsidP="009F2F06">
      <w:pPr>
        <w:spacing w:after="0" w:line="240" w:lineRule="auto"/>
      </w:pPr>
      <w:r>
        <w:separator/>
      </w:r>
    </w:p>
  </w:endnote>
  <w:endnote w:type="continuationSeparator" w:id="0">
    <w:p w14:paraId="3AEBF5D1" w14:textId="77777777" w:rsidR="0095431D" w:rsidRDefault="0095431D" w:rsidP="009F2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22431035"/>
      <w:docPartObj>
        <w:docPartGallery w:val="Page Numbers (Bottom of Page)"/>
        <w:docPartUnique/>
      </w:docPartObj>
    </w:sdtPr>
    <w:sdtContent>
      <w:p w14:paraId="334D8751" w14:textId="65AA913A" w:rsidR="009F2F06" w:rsidRDefault="009F2F06">
        <w:pPr>
          <w:pStyle w:val="a4"/>
          <w:jc w:val="center"/>
        </w:pPr>
        <w:r>
          <w:fldChar w:fldCharType="begin"/>
        </w:r>
        <w:r>
          <w:instrText>PAGE   \* MERGEFORMAT</w:instrText>
        </w:r>
        <w:r>
          <w:fldChar w:fldCharType="separate"/>
        </w:r>
        <w:r>
          <w:rPr>
            <w:rtl/>
            <w:lang w:val="ar-SA"/>
          </w:rPr>
          <w:t>2</w:t>
        </w:r>
        <w:r>
          <w:fldChar w:fldCharType="end"/>
        </w:r>
      </w:p>
    </w:sdtContent>
  </w:sdt>
  <w:p w14:paraId="1E5179CF" w14:textId="77777777" w:rsidR="009F2F06" w:rsidRDefault="009F2F0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54B9B" w14:textId="77777777" w:rsidR="0095431D" w:rsidRDefault="0095431D" w:rsidP="009F2F06">
      <w:pPr>
        <w:spacing w:after="0" w:line="240" w:lineRule="auto"/>
      </w:pPr>
      <w:r>
        <w:separator/>
      </w:r>
    </w:p>
  </w:footnote>
  <w:footnote w:type="continuationSeparator" w:id="0">
    <w:p w14:paraId="600AC79D" w14:textId="77777777" w:rsidR="0095431D" w:rsidRDefault="0095431D" w:rsidP="009F2F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16"/>
    <w:rsid w:val="002E2131"/>
    <w:rsid w:val="00390C9B"/>
    <w:rsid w:val="0070211A"/>
    <w:rsid w:val="0095431D"/>
    <w:rsid w:val="009F03AA"/>
    <w:rsid w:val="009F2F06"/>
    <w:rsid w:val="00E93E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10431"/>
  <w15:chartTrackingRefBased/>
  <w15:docId w15:val="{F192A245-3EF8-48CE-9A3B-75EC9224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1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2F06"/>
    <w:pPr>
      <w:tabs>
        <w:tab w:val="center" w:pos="4513"/>
        <w:tab w:val="right" w:pos="9026"/>
      </w:tabs>
      <w:spacing w:after="0" w:line="240" w:lineRule="auto"/>
    </w:pPr>
  </w:style>
  <w:style w:type="character" w:customStyle="1" w:styleId="Char">
    <w:name w:val="رأس الصفحة Char"/>
    <w:basedOn w:val="a0"/>
    <w:link w:val="a3"/>
    <w:uiPriority w:val="99"/>
    <w:rsid w:val="009F2F06"/>
  </w:style>
  <w:style w:type="paragraph" w:styleId="a4">
    <w:name w:val="footer"/>
    <w:basedOn w:val="a"/>
    <w:link w:val="Char0"/>
    <w:uiPriority w:val="99"/>
    <w:unhideWhenUsed/>
    <w:rsid w:val="009F2F06"/>
    <w:pPr>
      <w:tabs>
        <w:tab w:val="center" w:pos="4513"/>
        <w:tab w:val="right" w:pos="9026"/>
      </w:tabs>
      <w:spacing w:after="0" w:line="240" w:lineRule="auto"/>
    </w:pPr>
  </w:style>
  <w:style w:type="character" w:customStyle="1" w:styleId="Char0">
    <w:name w:val="تذييل الصفحة Char"/>
    <w:basedOn w:val="a0"/>
    <w:link w:val="a4"/>
    <w:uiPriority w:val="99"/>
    <w:rsid w:val="009F2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535</Words>
  <Characters>3053</Characters>
  <Application>Microsoft Office Word</Application>
  <DocSecurity>0</DocSecurity>
  <Lines>25</Lines>
  <Paragraphs>7</Paragraphs>
  <ScaleCrop>false</ScaleCrop>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3</cp:revision>
  <dcterms:created xsi:type="dcterms:W3CDTF">2026-08-31T15:40:00Z</dcterms:created>
  <dcterms:modified xsi:type="dcterms:W3CDTF">2026-08-31T15:41:00Z</dcterms:modified>
</cp:coreProperties>
</file>