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63A2" w14:textId="04088CE7" w:rsidR="00E21454" w:rsidRPr="00E21454" w:rsidRDefault="00E21454" w:rsidP="00FC6580">
      <w:pPr>
        <w:shd w:val="clear" w:color="auto" w:fill="A6A6A6" w:themeFill="background1" w:themeFillShade="A6"/>
        <w:spacing w:line="360" w:lineRule="auto"/>
        <w:jc w:val="both"/>
        <w:rPr>
          <w:rFonts w:cstheme="minorHAnsi"/>
          <w:b/>
          <w:bCs/>
          <w:sz w:val="40"/>
          <w:szCs w:val="40"/>
          <w:rtl/>
        </w:rPr>
      </w:pPr>
      <w:r w:rsidRPr="00E21454">
        <w:rPr>
          <w:rFonts w:cstheme="minorHAnsi" w:hint="cs"/>
          <w:b/>
          <w:bCs/>
          <w:sz w:val="40"/>
          <w:szCs w:val="40"/>
          <w:rtl/>
        </w:rPr>
        <w:t xml:space="preserve">المحاضرة التاسعة </w:t>
      </w:r>
      <w:proofErr w:type="gramStart"/>
      <w:r w:rsidRPr="00E21454">
        <w:rPr>
          <w:rFonts w:cstheme="minorHAnsi" w:hint="cs"/>
          <w:b/>
          <w:bCs/>
          <w:sz w:val="40"/>
          <w:szCs w:val="40"/>
          <w:rtl/>
        </w:rPr>
        <w:t>عشر  :</w:t>
      </w:r>
      <w:proofErr w:type="gramEnd"/>
    </w:p>
    <w:p w14:paraId="46003FCA" w14:textId="4A7EBEED"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وتأتي التعددية الحزبية ضمن إطار أوسع هو التعددية السياسية التي تضمنها الديمقراطية التي تسمح بالتعبير عن الآراء المتعددة في المجالات شتى، وفي مقدمتها المجال السياسي. مثلما اقترنت الأحزاب بالديمقراطية، حتى بات ينظر إلى أنه لا ديمقراطية بلا أحزاب، وأن الأحزاب عماد الديمقراطية. ج المشاركة السياسية الواسعة من أبرز الانتقادات التي وجهت إلى الديمقراطية في بداياتها</w:t>
      </w:r>
    </w:p>
    <w:p w14:paraId="129BF15E" w14:textId="77777777" w:rsidR="00A33687" w:rsidRPr="00ED2D06" w:rsidRDefault="00A33687" w:rsidP="00FC6580">
      <w:pPr>
        <w:spacing w:line="360" w:lineRule="auto"/>
        <w:jc w:val="both"/>
        <w:rPr>
          <w:rFonts w:cstheme="minorHAnsi"/>
          <w:b/>
          <w:bCs/>
          <w:sz w:val="36"/>
          <w:szCs w:val="36"/>
          <w:rtl/>
        </w:rPr>
      </w:pPr>
    </w:p>
    <w:p w14:paraId="0387537B" w14:textId="77777777"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 xml:space="preserve">اقتصار حق المشاركة السياسية على الطبقة البرجوازية كما سبق ذكره التي اعتبرت نفسها ممثلة الشعب مستندة إلى دورها في الانتقال من الاستبداد إلى الديمقراطية، وقدرتها المادية التي وفرت لأبنائها فريس التعلم والوعي السياسي، على عكس الفئات الأخرى التي كانت تعد غير مؤهلة للمشاركة بسبب </w:t>
      </w:r>
      <w:proofErr w:type="spellStart"/>
      <w:r w:rsidRPr="00ED2D06">
        <w:rPr>
          <w:rFonts w:cstheme="minorHAnsi"/>
          <w:b/>
          <w:bCs/>
          <w:sz w:val="36"/>
          <w:szCs w:val="36"/>
          <w:rtl/>
        </w:rPr>
        <w:t>ضض</w:t>
      </w:r>
      <w:proofErr w:type="spellEnd"/>
      <w:r w:rsidRPr="00ED2D06">
        <w:rPr>
          <w:rFonts w:cstheme="minorHAnsi"/>
          <w:b/>
          <w:bCs/>
          <w:sz w:val="36"/>
          <w:szCs w:val="36"/>
          <w:rtl/>
        </w:rPr>
        <w:t xml:space="preserve"> الوعي والموارد، بل وحتى الاهتمام بالشأن العام.</w:t>
      </w:r>
    </w:p>
    <w:p w14:paraId="799A4F3A" w14:textId="77777777" w:rsidR="00A33687" w:rsidRPr="00ED2D06" w:rsidRDefault="00A33687" w:rsidP="00FC6580">
      <w:pPr>
        <w:spacing w:line="360" w:lineRule="auto"/>
        <w:jc w:val="both"/>
        <w:rPr>
          <w:rFonts w:cstheme="minorHAnsi"/>
          <w:b/>
          <w:bCs/>
          <w:sz w:val="36"/>
          <w:szCs w:val="36"/>
          <w:rtl/>
        </w:rPr>
      </w:pPr>
    </w:p>
    <w:p w14:paraId="2FDE5118" w14:textId="77777777"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 xml:space="preserve">بيد أن التحولات الاقتصادية التي شهدتها المجتمعات الديمقراطية ودخولها عصر الصناعة، وما رافق ذلك من آثار سلبية اجتماعية واقتصادية نتيجة السياسات الرأسمالية، وظهور تيارات فكرية تهم بالطبقة العاملة، كالاشتراكية والماركسية فيما بعد، وزيادة الوعي لدى أبناء الطبقات الاجتماعية الأخرى وفي مقدمتها الطبقة العاملة، وتصاعد حدة الانتقادات للنظم الديمقراطية ووجهها </w:t>
      </w:r>
      <w:r w:rsidRPr="00ED2D06">
        <w:rPr>
          <w:rFonts w:cstheme="minorHAnsi"/>
          <w:b/>
          <w:bCs/>
          <w:sz w:val="36"/>
          <w:szCs w:val="36"/>
          <w:rtl/>
        </w:rPr>
        <w:lastRenderedPageBreak/>
        <w:t xml:space="preserve">الرأسمالي، دفع النظر الديمقراطية إلى توسيع قاعدة المشاركة السياسية، وعلى نحو تمكن فيه العمال في بريطانيا - وهم الطبقة المناهضة للبرجوازية وأصحاب رؤوس الأموال - من تأسيس حزب سياسي لهم عرف باسم (حزب العمال) الذي وصل إلى السلطة عام </w:t>
      </w:r>
      <w:r w:rsidRPr="00ED2D06">
        <w:rPr>
          <w:rFonts w:cstheme="minorHAnsi"/>
          <w:b/>
          <w:bCs/>
          <w:sz w:val="36"/>
          <w:szCs w:val="36"/>
          <w:rtl/>
          <w:lang w:bidi="fa-IR"/>
        </w:rPr>
        <w:t>۱۹۰۱</w:t>
      </w:r>
      <w:r w:rsidRPr="00ED2D06">
        <w:rPr>
          <w:rFonts w:cstheme="minorHAnsi"/>
          <w:b/>
          <w:bCs/>
          <w:sz w:val="36"/>
          <w:szCs w:val="36"/>
          <w:rtl/>
        </w:rPr>
        <w:t>م، ليغدو قطباً في النظام ثنائي الحزبية بعد تراجع حزب الأحرار</w:t>
      </w:r>
      <w:r>
        <w:rPr>
          <w:rFonts w:cstheme="minorHAnsi" w:hint="cs"/>
          <w:b/>
          <w:bCs/>
          <w:sz w:val="36"/>
          <w:szCs w:val="36"/>
          <w:rtl/>
        </w:rPr>
        <w:t xml:space="preserve"> </w:t>
      </w:r>
      <w:r w:rsidRPr="00ED2D06">
        <w:rPr>
          <w:rFonts w:cstheme="minorHAnsi"/>
          <w:b/>
          <w:bCs/>
          <w:sz w:val="36"/>
          <w:szCs w:val="36"/>
          <w:rtl/>
        </w:rPr>
        <w:t>الليبراليين).</w:t>
      </w:r>
    </w:p>
    <w:p w14:paraId="7ED9C448" w14:textId="77777777" w:rsidR="00A33687" w:rsidRPr="00ED2D06" w:rsidRDefault="00A33687" w:rsidP="00FC6580">
      <w:pPr>
        <w:spacing w:line="360" w:lineRule="auto"/>
        <w:jc w:val="both"/>
        <w:rPr>
          <w:rFonts w:cstheme="minorHAnsi"/>
          <w:b/>
          <w:bCs/>
          <w:sz w:val="36"/>
          <w:szCs w:val="36"/>
          <w:rtl/>
        </w:rPr>
      </w:pPr>
    </w:p>
    <w:p w14:paraId="034BF1B3" w14:textId="77777777"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ويمكن القول إن تخفيض النصاب المالي، وزيادة مستوى التعليم، وارتفاع الوعي السياسي، والإيمان بضرورة الاهتمام بالشأن العام، وتمكين المرأة عوامل أسهمت مع غيرها في توسيع قاعدة المشاركة السياسية على النحو الذي تشهده في الديمقراطيات المعاصرة، والذي تنظمه كل دولة وفقاً لقوانينها الخاصة بها.</w:t>
      </w:r>
    </w:p>
    <w:p w14:paraId="2812E727" w14:textId="68C3C385"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الديمقراطية في القرن العشرين بين الشمولية والتوسع العالمي</w:t>
      </w:r>
      <w:r w:rsidR="00E21454">
        <w:rPr>
          <w:rFonts w:cstheme="minorHAnsi" w:hint="cs"/>
          <w:b/>
          <w:bCs/>
          <w:sz w:val="36"/>
          <w:szCs w:val="36"/>
          <w:rtl/>
        </w:rPr>
        <w:t xml:space="preserve"> </w:t>
      </w:r>
      <w:r w:rsidRPr="00ED2D06">
        <w:rPr>
          <w:rFonts w:cstheme="minorHAnsi"/>
          <w:b/>
          <w:bCs/>
          <w:sz w:val="36"/>
          <w:szCs w:val="36"/>
          <w:rtl/>
        </w:rPr>
        <w:t>يعالج هذا المبحث التحديات التي واجهت الديمقراطية خلال القرن العشرين، ولا سيما صعود الأنظمة الشمولية، ثم يتتبع مسار انتشار الديمقراطية بعد الحرب العالمية الثانية، وتبنيها عالميا بمضامين وأشكال مختلفة.</w:t>
      </w:r>
    </w:p>
    <w:p w14:paraId="77537930" w14:textId="77777777"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 المطلب الأول: الديمقراطية قبل الحرب العالمية الثانية (بروز الشمولية):</w:t>
      </w:r>
    </w:p>
    <w:p w14:paraId="585D0D9D" w14:textId="77777777"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على الرغم من التطورات التي شهدتها الديمقراطية كما سبق ذكره، فقد برز تيار مناهض لها غرف باسم (الشمولية) أو (</w:t>
      </w:r>
      <w:proofErr w:type="spellStart"/>
      <w:r w:rsidRPr="00ED2D06">
        <w:rPr>
          <w:rFonts w:cstheme="minorHAnsi"/>
          <w:b/>
          <w:bCs/>
          <w:sz w:val="36"/>
          <w:szCs w:val="36"/>
          <w:rtl/>
        </w:rPr>
        <w:t>الكليائية</w:t>
      </w:r>
      <w:proofErr w:type="spellEnd"/>
      <w:r w:rsidRPr="00ED2D06">
        <w:rPr>
          <w:rFonts w:cstheme="minorHAnsi"/>
          <w:b/>
          <w:bCs/>
          <w:sz w:val="36"/>
          <w:szCs w:val="36"/>
          <w:rtl/>
        </w:rPr>
        <w:t xml:space="preserve"> </w:t>
      </w:r>
      <w:r w:rsidRPr="00ED2D06">
        <w:rPr>
          <w:rFonts w:cstheme="minorHAnsi"/>
          <w:b/>
          <w:bCs/>
          <w:sz w:val="36"/>
          <w:szCs w:val="36"/>
        </w:rPr>
        <w:t>Totalitarianism</w:t>
      </w:r>
      <w:r w:rsidRPr="00ED2D06">
        <w:rPr>
          <w:rFonts w:cstheme="minorHAnsi"/>
          <w:b/>
          <w:bCs/>
          <w:sz w:val="36"/>
          <w:szCs w:val="36"/>
          <w:rtl/>
        </w:rPr>
        <w:t xml:space="preserve">) كرد فعل على مبادئ الحرية والمشاركة، ويُعزى هذا التراجع إلى أن ليس جميع الأفراد </w:t>
      </w:r>
      <w:r w:rsidRPr="00ED2D06">
        <w:rPr>
          <w:rFonts w:cstheme="minorHAnsi"/>
          <w:b/>
          <w:bCs/>
          <w:sz w:val="36"/>
          <w:szCs w:val="36"/>
          <w:rtl/>
        </w:rPr>
        <w:lastRenderedPageBreak/>
        <w:t>يؤمنون بالحرية والديمقراطية؛ فبعضهم يمجد السلطة المطلقة ويخضع لها، وآخرون يميلون إلى التسلط على الآخرين، وهناك من ينجذب إلى الخضوع لسلطة قوية والتمرد على غيرها، وأن بعض الأفراد يبحثون في داخلهم عن (زعيم) أو (قائد) يتبعونه.</w:t>
      </w:r>
    </w:p>
    <w:p w14:paraId="24FFB008" w14:textId="77777777" w:rsidR="00A33687" w:rsidRPr="00ED2D06" w:rsidRDefault="00A33687" w:rsidP="00FC6580">
      <w:pPr>
        <w:spacing w:line="360" w:lineRule="auto"/>
        <w:jc w:val="both"/>
        <w:rPr>
          <w:rFonts w:cstheme="minorHAnsi"/>
          <w:b/>
          <w:bCs/>
          <w:sz w:val="36"/>
          <w:szCs w:val="36"/>
          <w:rtl/>
        </w:rPr>
      </w:pPr>
      <w:r w:rsidRPr="00ED2D06">
        <w:rPr>
          <w:rFonts w:cstheme="minorHAnsi"/>
          <w:b/>
          <w:bCs/>
          <w:sz w:val="36"/>
          <w:szCs w:val="36"/>
          <w:rtl/>
        </w:rPr>
        <w:t>وتقوم الشمولية على دمج السلطات وتركيزها في يد جهة واحدة، بخلاف مبدأ الفصل بين السلطات. وقد رأى أنصار الشمولية أن الديمقراطية تؤدي إلى تفكك السلطة بسبب الانشغال بالمصالح الفردية والنقد الدائم للحكومة، مما يضعف هيبة الدولة، ويجعلها خاضعة لمطالب الأفراد بدلاً من أن يكون الأفراد في خدمة الدولة.</w:t>
      </w:r>
    </w:p>
    <w:p w14:paraId="43BF77C7" w14:textId="360BC5AC" w:rsidR="00390C9B" w:rsidRDefault="00A33687" w:rsidP="00FC6580">
      <w:pPr>
        <w:spacing w:line="360" w:lineRule="auto"/>
        <w:jc w:val="both"/>
      </w:pPr>
      <w:r w:rsidRPr="00ED2D06">
        <w:rPr>
          <w:rFonts w:cstheme="minorHAnsi"/>
          <w:b/>
          <w:bCs/>
          <w:sz w:val="36"/>
          <w:szCs w:val="36"/>
          <w:rtl/>
        </w:rPr>
        <w:t>وتهدف الشمولية بدرجة أساسية إلى إلغاء وجود المجتمع المدني من الخريطة الاجتماعية والسياسية للدولة، وإلى إزالة الفروق الفردية لصالح الانصهار الكامل في الدولة. وكان أبرز منظري هذا الاتجا</w:t>
      </w:r>
      <w:r w:rsidR="00FC6580">
        <w:rPr>
          <w:rFonts w:cstheme="minorHAnsi" w:hint="cs"/>
          <w:b/>
          <w:bCs/>
          <w:sz w:val="36"/>
          <w:szCs w:val="36"/>
          <w:rtl/>
        </w:rPr>
        <w:t>ه</w:t>
      </w:r>
      <w:r w:rsidRPr="00ED2D06">
        <w:rPr>
          <w:rFonts w:cstheme="minorHAnsi"/>
          <w:b/>
          <w:bCs/>
          <w:sz w:val="36"/>
          <w:szCs w:val="36"/>
          <w:rtl/>
        </w:rPr>
        <w:t xml:space="preserve"> المفكر الألماني (هيغل)، الذي اعتبر أن المجتمع المدني تسوده علاقات تنازع وشقاق بين أفراده وجماعاته بسبب سيطرة المصالح الفردية، في حين أن الصالح العام لا يتحقق إلا من خلال تجاوز الفردية. وقد رأى أن الدولة مهددة بالزوال نتيجة تصادم الإرادات الخاصة، وأن الطروحات التي تضع الفرد في موقع أسبق من الدولة وتطالب بخدمة الدولة له لا تمثل واقعاً عملياً، وعليه، رأى هيغل أن المجتمع القائم على التعدد والتنازع يجب أن يُستبدل بنظام شمولي تتكامل فيه المصالح الخاصة ضمن</w:t>
      </w:r>
      <w:r>
        <w:rPr>
          <w:rFonts w:cstheme="minorHAnsi" w:hint="cs"/>
          <w:b/>
          <w:bCs/>
          <w:sz w:val="36"/>
          <w:szCs w:val="36"/>
          <w:rtl/>
        </w:rPr>
        <w:t xml:space="preserve"> </w:t>
      </w:r>
      <w:r w:rsidRPr="00ED2D06">
        <w:rPr>
          <w:rFonts w:cstheme="minorHAnsi"/>
          <w:b/>
          <w:bCs/>
          <w:sz w:val="36"/>
          <w:szCs w:val="36"/>
          <w:rtl/>
        </w:rPr>
        <w:t>كل واحد موحد.</w:t>
      </w: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8E79" w14:textId="77777777" w:rsidR="00500AD9" w:rsidRDefault="00500AD9" w:rsidP="00E21454">
      <w:pPr>
        <w:spacing w:after="0" w:line="240" w:lineRule="auto"/>
      </w:pPr>
      <w:r>
        <w:separator/>
      </w:r>
    </w:p>
  </w:endnote>
  <w:endnote w:type="continuationSeparator" w:id="0">
    <w:p w14:paraId="7318609D" w14:textId="77777777" w:rsidR="00500AD9" w:rsidRDefault="00500AD9" w:rsidP="00E21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97799646"/>
      <w:docPartObj>
        <w:docPartGallery w:val="Page Numbers (Bottom of Page)"/>
        <w:docPartUnique/>
      </w:docPartObj>
    </w:sdtPr>
    <w:sdtContent>
      <w:p w14:paraId="19354F02" w14:textId="7770FBBA" w:rsidR="00FC6580" w:rsidRDefault="00FC6580">
        <w:pPr>
          <w:pStyle w:val="a4"/>
          <w:jc w:val="center"/>
        </w:pPr>
        <w:r>
          <w:fldChar w:fldCharType="begin"/>
        </w:r>
        <w:r>
          <w:instrText>PAGE   \* MERGEFORMAT</w:instrText>
        </w:r>
        <w:r>
          <w:fldChar w:fldCharType="separate"/>
        </w:r>
        <w:r>
          <w:rPr>
            <w:rtl/>
            <w:lang w:val="ar-SA"/>
          </w:rPr>
          <w:t>2</w:t>
        </w:r>
        <w:r>
          <w:fldChar w:fldCharType="end"/>
        </w:r>
      </w:p>
    </w:sdtContent>
  </w:sdt>
  <w:p w14:paraId="55C52B02" w14:textId="77777777" w:rsidR="00E21454" w:rsidRDefault="00E2145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DD0E" w14:textId="77777777" w:rsidR="00500AD9" w:rsidRDefault="00500AD9" w:rsidP="00E21454">
      <w:pPr>
        <w:spacing w:after="0" w:line="240" w:lineRule="auto"/>
      </w:pPr>
      <w:r>
        <w:separator/>
      </w:r>
    </w:p>
  </w:footnote>
  <w:footnote w:type="continuationSeparator" w:id="0">
    <w:p w14:paraId="0DDF86A4" w14:textId="77777777" w:rsidR="00500AD9" w:rsidRDefault="00500AD9" w:rsidP="00E214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21"/>
    <w:rsid w:val="002E2131"/>
    <w:rsid w:val="00390C9B"/>
    <w:rsid w:val="00500AD9"/>
    <w:rsid w:val="00622421"/>
    <w:rsid w:val="009F03AA"/>
    <w:rsid w:val="00A33687"/>
    <w:rsid w:val="00E21454"/>
    <w:rsid w:val="00FC65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A5E5"/>
  <w15:chartTrackingRefBased/>
  <w15:docId w15:val="{CD0D5A3A-681E-4A12-A809-C52EA408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6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454"/>
    <w:pPr>
      <w:tabs>
        <w:tab w:val="center" w:pos="4513"/>
        <w:tab w:val="right" w:pos="9026"/>
      </w:tabs>
      <w:spacing w:after="0" w:line="240" w:lineRule="auto"/>
    </w:pPr>
  </w:style>
  <w:style w:type="character" w:customStyle="1" w:styleId="Char">
    <w:name w:val="رأس الصفحة Char"/>
    <w:basedOn w:val="a0"/>
    <w:link w:val="a3"/>
    <w:uiPriority w:val="99"/>
    <w:rsid w:val="00E21454"/>
  </w:style>
  <w:style w:type="paragraph" w:styleId="a4">
    <w:name w:val="footer"/>
    <w:basedOn w:val="a"/>
    <w:link w:val="Char0"/>
    <w:uiPriority w:val="99"/>
    <w:unhideWhenUsed/>
    <w:rsid w:val="00E21454"/>
    <w:pPr>
      <w:tabs>
        <w:tab w:val="center" w:pos="4513"/>
        <w:tab w:val="right" w:pos="9026"/>
      </w:tabs>
      <w:spacing w:after="0" w:line="240" w:lineRule="auto"/>
    </w:pPr>
  </w:style>
  <w:style w:type="character" w:customStyle="1" w:styleId="Char0">
    <w:name w:val="تذييل الصفحة Char"/>
    <w:basedOn w:val="a0"/>
    <w:link w:val="a4"/>
    <w:uiPriority w:val="99"/>
    <w:rsid w:val="00E21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2026-08-31T16:41:00Z</dcterms:created>
  <dcterms:modified xsi:type="dcterms:W3CDTF">2026-08-31T16:43:00Z</dcterms:modified>
</cp:coreProperties>
</file>