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0B2" w:rsidRPr="006D2D7C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i/>
          <w:iCs/>
          <w:color w:val="2E2E2E"/>
          <w:sz w:val="36"/>
          <w:szCs w:val="36"/>
          <w:lang w:val="fr-FR"/>
        </w:rPr>
      </w:pP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1. L’Humanisme (XVI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vertAlign w:val="superscript"/>
          <w:lang w:val="fr-FR"/>
        </w:rPr>
        <w:t>e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)</w:t>
      </w:r>
    </w:p>
    <w:p w:rsidR="001410B2" w:rsidRPr="006D2D7C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Mouvement italien du XV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bdr w:val="single" w:sz="2" w:space="0" w:color="FAFAFA" w:frame="1"/>
          <w:vertAlign w:val="superscript"/>
          <w:lang w:val="fr-FR"/>
        </w:rPr>
        <w:t>e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 qui arrive en France au XVI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bdr w:val="single" w:sz="2" w:space="0" w:color="FAFAFA" w:frame="1"/>
          <w:vertAlign w:val="superscript"/>
          <w:lang w:val="fr-FR"/>
        </w:rPr>
        <w:t>e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 xml:space="preserve">. Il se détache des croyances du Moyen Âge par une foi nouvelle en l’homme et dans le progrès. </w:t>
      </w:r>
      <w:r w:rsidRPr="006D2D7C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L’homme peut devenir meilleur en se référant aux modèles antiques.</w:t>
      </w:r>
    </w:p>
    <w:p w:rsidR="001410B2" w:rsidRPr="006D2D7C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i/>
          <w:iCs/>
          <w:color w:val="2E2E2E"/>
          <w:sz w:val="36"/>
          <w:szCs w:val="36"/>
          <w:lang w:val="fr-FR"/>
        </w:rPr>
      </w:pPr>
      <w:r w:rsidRPr="006D2D7C">
        <w:rPr>
          <w:rFonts w:asciiTheme="majorBidi" w:eastAsia="Times New Roman" w:hAnsiTheme="majorBidi" w:cstheme="majorBidi"/>
          <w:i/>
          <w:iCs/>
          <w:color w:val="2E2E2E"/>
          <w:sz w:val="36"/>
          <w:szCs w:val="36"/>
          <w:lang w:val="fr-FR"/>
        </w:rPr>
        <w:t> 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2. Le Baroque (XVII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vertAlign w:val="superscript"/>
          <w:lang w:val="fr-FR"/>
        </w:rPr>
        <w:t>e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)</w:t>
      </w:r>
    </w:p>
    <w:p w:rsidR="001410B2" w:rsidRPr="00C74821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 xml:space="preserve">Courant architectural puis artistique et littéraire caractérisé par un style outrancier et irrégulier. L’extravagance et l’ornementation sont omniprésentes. La frontière entre réalité et illusion devient poreuse : on ne sait plus où s’arrête l’une ni où commence l’autre. Repose sur des illusions d’optique, des exubérances, des jeux de miroirs. </w:t>
      </w:r>
      <w:proofErr w:type="spellStart"/>
      <w:r>
        <w:rPr>
          <w:rFonts w:asciiTheme="majorBidi" w:eastAsia="Times New Roman" w:hAnsiTheme="majorBidi" w:cstheme="majorBidi"/>
          <w:color w:val="2E2E2E"/>
          <w:sz w:val="28"/>
          <w:szCs w:val="28"/>
        </w:rPr>
        <w:t>Quelques</w:t>
      </w:r>
      <w:proofErr w:type="spellEnd"/>
      <w:r>
        <w:rPr>
          <w:rFonts w:asciiTheme="majorBidi" w:eastAsia="Times New Roman" w:hAnsiTheme="majorBidi" w:cstheme="majorBidi"/>
          <w:color w:val="2E2E2E"/>
          <w:sz w:val="28"/>
          <w:szCs w:val="28"/>
        </w:rPr>
        <w:t xml:space="preserve"> </w:t>
      </w:r>
      <w:proofErr w:type="spellStart"/>
      <w:r>
        <w:rPr>
          <w:rFonts w:asciiTheme="majorBidi" w:eastAsia="Times New Roman" w:hAnsiTheme="majorBidi" w:cstheme="majorBidi"/>
          <w:color w:val="2E2E2E"/>
          <w:sz w:val="28"/>
          <w:szCs w:val="28"/>
        </w:rPr>
        <w:t>exemples</w:t>
      </w:r>
      <w:proofErr w:type="spellEnd"/>
      <w:r w:rsidRPr="00C74821">
        <w:rPr>
          <w:rFonts w:asciiTheme="majorBidi" w:eastAsia="Times New Roman" w:hAnsiTheme="majorBidi" w:cstheme="majorBidi"/>
          <w:color w:val="2E2E2E"/>
          <w:sz w:val="28"/>
          <w:szCs w:val="28"/>
        </w:rPr>
        <w:t>:</w:t>
      </w:r>
    </w:p>
    <w:p w:rsidR="001410B2" w:rsidRPr="006D2D7C" w:rsidRDefault="001410B2" w:rsidP="001410B2">
      <w:pPr>
        <w:numPr>
          <w:ilvl w:val="0"/>
          <w:numId w:val="1"/>
        </w:numPr>
        <w:pBdr>
          <w:top w:val="single" w:sz="2" w:space="0" w:color="FAFAFA"/>
          <w:left w:val="single" w:sz="2" w:space="11" w:color="FAFAFA"/>
          <w:bottom w:val="single" w:sz="2" w:space="0" w:color="FAFAFA"/>
          <w:right w:val="single" w:sz="2" w:space="0" w:color="FAFAFA"/>
        </w:pBdr>
        <w:shd w:val="clear" w:color="auto" w:fill="FFFFFF"/>
        <w:spacing w:before="100" w:beforeAutospacing="1" w:after="240" w:line="240" w:lineRule="auto"/>
        <w:ind w:left="0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D06B68">
        <w:rPr>
          <w:rFonts w:asciiTheme="majorBidi" w:eastAsia="Times New Roman" w:hAnsiTheme="majorBidi" w:cstheme="majorBidi"/>
          <w:b/>
          <w:bCs/>
          <w:color w:val="2E2E2E"/>
          <w:sz w:val="28"/>
          <w:szCs w:val="28"/>
          <w:lang w:val="fr-FR"/>
        </w:rPr>
        <w:t>La narration enchâssée :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 xml:space="preserve"> dans l’histoire, un personnage se met à raconter une autre histoire. </w:t>
      </w:r>
      <w:r w:rsidRPr="006D2D7C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Le niveau de fiction traditionnel de l’histoire du narrateur se nomme « récit cadre » et le niveau de fiction supplémentaire de l’histoire racontée par le personnage « récit enchâssé ».</w:t>
      </w:r>
    </w:p>
    <w:p w:rsidR="001410B2" w:rsidRPr="004C1E92" w:rsidRDefault="001410B2" w:rsidP="001410B2">
      <w:pPr>
        <w:numPr>
          <w:ilvl w:val="0"/>
          <w:numId w:val="1"/>
        </w:numPr>
        <w:pBdr>
          <w:top w:val="single" w:sz="2" w:space="0" w:color="FAFAFA"/>
          <w:left w:val="single" w:sz="2" w:space="11" w:color="FAFAFA"/>
          <w:bottom w:val="single" w:sz="2" w:space="0" w:color="FAFAFA"/>
          <w:right w:val="single" w:sz="2" w:space="0" w:color="FAFAFA"/>
        </w:pBd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D06B68">
        <w:rPr>
          <w:rFonts w:asciiTheme="majorBidi" w:eastAsia="Times New Roman" w:hAnsiTheme="majorBidi" w:cstheme="majorBidi"/>
          <w:b/>
          <w:bCs/>
          <w:color w:val="2E2E2E"/>
          <w:sz w:val="28"/>
          <w:szCs w:val="28"/>
          <w:lang w:val="fr-FR"/>
        </w:rPr>
        <w:t>Le théâtre dans le théâtre :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 xml:space="preserve"> dans une pièce de théâtre, certains personnages sont des acteurs et jouent éventuellement une pièce de théâtre (dans la pièce de théâtre que nous lisons / regardons).</w:t>
      </w:r>
    </w:p>
    <w:p w:rsidR="001410B2" w:rsidRPr="006D2D7C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i/>
          <w:iCs/>
          <w:color w:val="2E2E2E"/>
          <w:sz w:val="36"/>
          <w:szCs w:val="36"/>
          <w:lang w:val="fr-FR"/>
        </w:rPr>
      </w:pPr>
      <w:r w:rsidRPr="004C1E92">
        <w:rPr>
          <w:rFonts w:asciiTheme="majorBidi" w:eastAsia="Times New Roman" w:hAnsiTheme="majorBidi" w:cstheme="majorBidi"/>
          <w:i/>
          <w:iCs/>
          <w:color w:val="2E2E2E"/>
          <w:sz w:val="36"/>
          <w:szCs w:val="36"/>
          <w:lang w:val="fr-FR"/>
        </w:rPr>
        <w:t> 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3. Le Classicisme (XVII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vertAlign w:val="superscript"/>
          <w:lang w:val="fr-FR"/>
        </w:rPr>
        <w:t>e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)</w:t>
      </w:r>
    </w:p>
    <w:p w:rsidR="001410B2" w:rsidRPr="00A11D9F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Mouvement littéraire et artistique de la seconde moitié du XVII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bdr w:val="single" w:sz="2" w:space="0" w:color="FAFAFA" w:frame="1"/>
          <w:vertAlign w:val="superscript"/>
          <w:lang w:val="fr-FR"/>
        </w:rPr>
        <w:t>e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. Il repose sur les règles strictes (règles de l’unité de lieu, de temps et d’action au théâtre). Il fait l’éloge de la clarté et de l’harmonie (Boileau).</w:t>
      </w:r>
    </w:p>
    <w:p w:rsidR="001410B2" w:rsidRPr="006D2D7C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i/>
          <w:iCs/>
          <w:color w:val="2E2E2E"/>
          <w:sz w:val="36"/>
          <w:szCs w:val="36"/>
          <w:lang w:val="fr-FR"/>
        </w:rPr>
      </w:pP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4. Les Lumières (XVIII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vertAlign w:val="superscript"/>
          <w:lang w:val="fr-FR"/>
        </w:rPr>
        <w:t>e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)</w:t>
      </w: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Mouvement fondé par les écrivains philosophes du XVII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bdr w:val="single" w:sz="2" w:space="0" w:color="FAFAFA" w:frame="1"/>
          <w:vertAlign w:val="superscript"/>
          <w:lang w:val="fr-FR"/>
        </w:rPr>
        <w:t>e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 (Voltaire, Diderot, D’Alembert, Rousseau). Ils rédigent une </w:t>
      </w:r>
      <w:r w:rsidRPr="004C1E92">
        <w:rPr>
          <w:rFonts w:asciiTheme="majorBidi" w:eastAsia="Times New Roman" w:hAnsiTheme="majorBidi" w:cstheme="majorBidi"/>
          <w:i/>
          <w:iCs/>
          <w:color w:val="2E2E2E"/>
          <w:sz w:val="28"/>
          <w:szCs w:val="28"/>
          <w:bdr w:val="single" w:sz="2" w:space="0" w:color="FAFAFA" w:frame="1"/>
          <w:lang w:val="fr-FR"/>
        </w:rPr>
        <w:t>Encyclopédie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 qui a pour but de vulgariser le savoir. Ils combattent les injustices et les intolérances de leur société par la raison.</w:t>
      </w:r>
    </w:p>
    <w:p w:rsidR="001410B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rtl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Ils dénoncent l’esclavagisme, la guerre, les abus de la religion (= le fanatisme).</w:t>
      </w: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 </w:t>
      </w:r>
    </w:p>
    <w:p w:rsidR="001410B2" w:rsidRPr="006D2D7C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i/>
          <w:iCs/>
          <w:color w:val="2E2E2E"/>
          <w:sz w:val="36"/>
          <w:szCs w:val="36"/>
          <w:lang w:val="fr-FR"/>
        </w:rPr>
      </w:pP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lastRenderedPageBreak/>
        <w:t>5. Le Romantisme (XIX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vertAlign w:val="superscript"/>
          <w:lang w:val="fr-FR"/>
        </w:rPr>
        <w:t>e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)</w:t>
      </w: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Mouvement littéraire et artistique de la première moitié du XIX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bdr w:val="single" w:sz="2" w:space="0" w:color="FAFAFA" w:frame="1"/>
          <w:vertAlign w:val="superscript"/>
          <w:lang w:val="fr-FR"/>
        </w:rPr>
        <w:t>e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. L’expression des sentiments, la subjectivité (le « moi ») et le mélange des genres le caractérisent.</w:t>
      </w: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 </w:t>
      </w:r>
    </w:p>
    <w:p w:rsidR="001410B2" w:rsidRPr="006D2D7C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i/>
          <w:iCs/>
          <w:color w:val="2E2E2E"/>
          <w:sz w:val="36"/>
          <w:szCs w:val="36"/>
          <w:lang w:val="fr-FR"/>
        </w:rPr>
      </w:pP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6. Le Réalisme (XIX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vertAlign w:val="superscript"/>
          <w:lang w:val="fr-FR"/>
        </w:rPr>
        <w:t>e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)</w:t>
      </w: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Mouvement littéraire et culturel du XIX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bdr w:val="single" w:sz="2" w:space="0" w:color="FAFAFA" w:frame="1"/>
          <w:vertAlign w:val="superscript"/>
          <w:lang w:val="fr-FR"/>
        </w:rPr>
        <w:t>e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 qui développe la volonté de peindre le réel tel qu’il est, de la manière la plus objective possible. Il refuse l’idéalisation et se soumet à l’exactitude des informations.</w:t>
      </w: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 </w:t>
      </w:r>
    </w:p>
    <w:p w:rsidR="001410B2" w:rsidRPr="006D2D7C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i/>
          <w:iCs/>
          <w:color w:val="2E2E2E"/>
          <w:sz w:val="36"/>
          <w:szCs w:val="36"/>
          <w:lang w:val="fr-FR"/>
        </w:rPr>
      </w:pP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7. Le Naturalisme (XIX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vertAlign w:val="superscript"/>
          <w:lang w:val="fr-FR"/>
        </w:rPr>
        <w:t>e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)</w:t>
      </w: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C’est la poursuite du Réalisme, de façon radicalisée, à la fin du XIX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bdr w:val="single" w:sz="2" w:space="0" w:color="FAFAFA" w:frame="1"/>
          <w:vertAlign w:val="superscript"/>
          <w:lang w:val="fr-FR"/>
        </w:rPr>
        <w:t>e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. Il s’agit de décortiquer le réel de manière quasi scientifique.</w:t>
      </w:r>
    </w:p>
    <w:p w:rsidR="001410B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 </w:t>
      </w:r>
    </w:p>
    <w:p w:rsidR="001410B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</w:p>
    <w:p w:rsidR="001410B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</w:p>
    <w:p w:rsidR="001410B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</w:p>
    <w:p w:rsidR="001410B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</w:p>
    <w:p w:rsidR="001410B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</w:p>
    <w:p w:rsidR="001410B2" w:rsidRPr="004067D4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i/>
          <w:iCs/>
          <w:color w:val="2E2E2E"/>
          <w:sz w:val="36"/>
          <w:szCs w:val="36"/>
          <w:lang w:val="fr-FR"/>
        </w:rPr>
      </w:pPr>
      <w:r w:rsidRPr="004067D4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8. Le Symbolisme (XIX</w:t>
      </w:r>
      <w:r w:rsidRPr="004067D4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vertAlign w:val="superscript"/>
          <w:lang w:val="fr-FR"/>
        </w:rPr>
        <w:t>e</w:t>
      </w:r>
      <w:r w:rsidRPr="004067D4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)</w:t>
      </w:r>
    </w:p>
    <w:p w:rsidR="001410B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rtl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Mouvement essentiellement poétique qui joue sur les images, les symboles et les sensations. Les symbolistes établissent aussi une correspondance entre le monde intérieur de l’homme et le monde extérieur.</w:t>
      </w: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 </w:t>
      </w:r>
    </w:p>
    <w:p w:rsidR="001410B2" w:rsidRPr="006D2D7C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i/>
          <w:iCs/>
          <w:color w:val="2E2E2E"/>
          <w:sz w:val="36"/>
          <w:szCs w:val="36"/>
          <w:lang w:val="fr-FR"/>
        </w:rPr>
      </w:pP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lastRenderedPageBreak/>
        <w:t>9. Le Surréalisme (XX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vertAlign w:val="superscript"/>
          <w:lang w:val="fr-FR"/>
        </w:rPr>
        <w:t>e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)</w:t>
      </w: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Mouvement né dans les années 1920, précédé par le Dadaïsme, qui nie tout et fait table rase du passé. Les surréalistes laissent libre cours à leur imagination et à leur inconscient ce qui engendre des textes originaux et poétiques.</w:t>
      </w: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 </w:t>
      </w:r>
    </w:p>
    <w:p w:rsidR="001410B2" w:rsidRPr="006D2D7C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225" w:line="240" w:lineRule="auto"/>
        <w:jc w:val="both"/>
        <w:rPr>
          <w:rFonts w:asciiTheme="majorBidi" w:eastAsia="Times New Roman" w:hAnsiTheme="majorBidi" w:cstheme="majorBidi"/>
          <w:i/>
          <w:iCs/>
          <w:color w:val="2E2E2E"/>
          <w:sz w:val="36"/>
          <w:szCs w:val="36"/>
          <w:lang w:val="fr-FR"/>
        </w:rPr>
      </w:pP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10. Le Nouveau Roman (XX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vertAlign w:val="superscript"/>
          <w:lang w:val="fr-FR"/>
        </w:rPr>
        <w:t>e</w:t>
      </w:r>
      <w:r w:rsidRPr="006D2D7C">
        <w:rPr>
          <w:rFonts w:asciiTheme="majorBidi" w:eastAsia="Times New Roman" w:hAnsiTheme="majorBidi" w:cstheme="majorBidi"/>
          <w:b/>
          <w:bCs/>
          <w:i/>
          <w:iCs/>
          <w:color w:val="2E2E2E"/>
          <w:sz w:val="36"/>
          <w:szCs w:val="36"/>
          <w:bdr w:val="single" w:sz="2" w:space="0" w:color="FAFAFA" w:frame="1"/>
          <w:lang w:val="fr-FR"/>
        </w:rPr>
        <w:t>)</w:t>
      </w:r>
    </w:p>
    <w:p w:rsidR="001410B2" w:rsidRPr="004C1E92" w:rsidRDefault="001410B2" w:rsidP="001410B2">
      <w:pPr>
        <w:pBdr>
          <w:top w:val="single" w:sz="2" w:space="0" w:color="FAFAFA"/>
          <w:left w:val="single" w:sz="2" w:space="0" w:color="FAFAFA"/>
          <w:bottom w:val="single" w:sz="2" w:space="0" w:color="FAFAFA"/>
          <w:right w:val="single" w:sz="2" w:space="0" w:color="FAFAFA"/>
        </w:pBdr>
        <w:shd w:val="clear" w:color="auto" w:fill="FFFFFF"/>
        <w:spacing w:before="225" w:after="0" w:line="240" w:lineRule="auto"/>
        <w:jc w:val="both"/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</w:pP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Il refuse le roman traditionnel du XIX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bdr w:val="single" w:sz="2" w:space="0" w:color="FAFAFA" w:frame="1"/>
          <w:vertAlign w:val="superscript"/>
          <w:lang w:val="fr-FR"/>
        </w:rPr>
        <w:t>e</w:t>
      </w:r>
      <w:r w:rsidRPr="004C1E92">
        <w:rPr>
          <w:rFonts w:asciiTheme="majorBidi" w:eastAsia="Times New Roman" w:hAnsiTheme="majorBidi" w:cstheme="majorBidi"/>
          <w:color w:val="2E2E2E"/>
          <w:sz w:val="28"/>
          <w:szCs w:val="28"/>
          <w:lang w:val="fr-FR"/>
        </w:rPr>
        <w:t> siècle, s'amuse à déconstruire la notion de héros : le personnage devient une entité vide, parfois réduit à une lettre ou un pronom.</w:t>
      </w:r>
    </w:p>
    <w:p w:rsidR="001410B2" w:rsidRPr="004C1E92" w:rsidRDefault="001410B2" w:rsidP="001410B2">
      <w:pPr>
        <w:jc w:val="both"/>
        <w:rPr>
          <w:rFonts w:asciiTheme="majorBidi" w:hAnsiTheme="majorBidi" w:cstheme="majorBidi"/>
          <w:sz w:val="28"/>
          <w:szCs w:val="28"/>
          <w:lang w:val="fr-FR"/>
        </w:rPr>
      </w:pPr>
    </w:p>
    <w:p w:rsidR="001410B2" w:rsidRDefault="001410B2" w:rsidP="001410B2">
      <w:pPr>
        <w:jc w:val="both"/>
        <w:rPr>
          <w:rFonts w:asciiTheme="majorBidi" w:hAnsiTheme="majorBidi" w:cstheme="majorBidi"/>
          <w:sz w:val="36"/>
          <w:szCs w:val="36"/>
          <w:lang w:val="fr-FR"/>
        </w:rPr>
      </w:pPr>
    </w:p>
    <w:p w:rsidR="00C1778D" w:rsidRPr="001410B2" w:rsidRDefault="00C1778D">
      <w:pPr>
        <w:rPr>
          <w:lang w:val="fr-FR"/>
        </w:rPr>
      </w:pPr>
      <w:bookmarkStart w:id="0" w:name="_GoBack"/>
      <w:bookmarkEnd w:id="0"/>
    </w:p>
    <w:sectPr w:rsidR="00C1778D" w:rsidRPr="001410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3C5BB1"/>
    <w:multiLevelType w:val="multilevel"/>
    <w:tmpl w:val="9C50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2AC"/>
    <w:rsid w:val="001410B2"/>
    <w:rsid w:val="007702AC"/>
    <w:rsid w:val="00C1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A0353C-B752-43EE-89D2-075F8508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10B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2551</Characters>
  <Application>Microsoft Office Word</Application>
  <DocSecurity>0</DocSecurity>
  <Lines>21</Lines>
  <Paragraphs>5</Paragraphs>
  <ScaleCrop>false</ScaleCrop>
  <Company>HP</Company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2026-09-01T07:53:00Z</dcterms:created>
  <dcterms:modified xsi:type="dcterms:W3CDTF">2026-09-01T07:53:00Z</dcterms:modified>
</cp:coreProperties>
</file>