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A4B" w:rsidRDefault="00A95A4B" w:rsidP="000F1680">
      <w:pPr>
        <w:rPr>
          <w:rtl/>
          <w:lang w:bidi="ar-IQ"/>
        </w:rPr>
      </w:pPr>
      <w:r>
        <w:rPr>
          <w:rFonts w:hint="cs"/>
          <w:rtl/>
          <w:lang w:bidi="ar-IQ"/>
        </w:rPr>
        <w:t xml:space="preserve">    </w:t>
      </w:r>
      <w:bookmarkStart w:id="0" w:name="_GoBack"/>
      <w:bookmarkEnd w:id="0"/>
      <w:r>
        <w:rPr>
          <w:rFonts w:hint="cs"/>
          <w:rtl/>
          <w:lang w:bidi="ar-IQ"/>
        </w:rPr>
        <w:t>الممنوع من الصرف لعلة تقوم مقام علتين:</w:t>
      </w:r>
    </w:p>
    <w:p w:rsidR="00A95A4B" w:rsidRDefault="00A95A4B" w:rsidP="00A95A4B">
      <w:pPr>
        <w:rPr>
          <w:rtl/>
          <w:lang w:bidi="ar-IQ"/>
        </w:rPr>
      </w:pPr>
      <w:r>
        <w:rPr>
          <w:rFonts w:hint="cs"/>
          <w:rtl/>
          <w:lang w:bidi="ar-IQ"/>
        </w:rPr>
        <w:t xml:space="preserve">     ا/ يمتنع الاسم من الصرف إذا لحقته ألف التأنيث الممدودة وهي علة تقوم مقام علتين كما في قولنا نظرتُ إلى صحراءَ شاسعةٍ وسلمتُ على هيفاءَ فالهمزة في هيفاء وصحراء أفادت التأنيث وهي علة تقوم مقام علتين, وربما كانت الف التأنيث مقصورة كما في قولنا: حبلى ونحوه.</w:t>
      </w:r>
    </w:p>
    <w:p w:rsidR="00A95A4B" w:rsidRDefault="00A95A4B" w:rsidP="00A95A4B">
      <w:pPr>
        <w:rPr>
          <w:rtl/>
          <w:lang w:bidi="ar-IQ"/>
        </w:rPr>
      </w:pPr>
      <w:r>
        <w:rPr>
          <w:rFonts w:hint="cs"/>
          <w:rtl/>
          <w:lang w:bidi="ar-IQ"/>
        </w:rPr>
        <w:t xml:space="preserve">     ب/ صيغ منتهى  الجموع:</w:t>
      </w:r>
    </w:p>
    <w:p w:rsidR="00A95A4B" w:rsidRDefault="00A95A4B" w:rsidP="00A95A4B">
      <w:pPr>
        <w:rPr>
          <w:b/>
          <w:bCs/>
          <w:rtl/>
          <w:lang w:bidi="ar"/>
        </w:rPr>
      </w:pPr>
      <w:r>
        <w:rPr>
          <w:rFonts w:hint="cs"/>
          <w:b/>
          <w:bCs/>
          <w:rtl/>
          <w:lang w:bidi="ar"/>
        </w:rPr>
        <w:t xml:space="preserve">سميت صيغ منتهى الجموع: لأنها أقصى ما يبلغه الجمع فلا يُجمع بعده, </w:t>
      </w:r>
      <w:r>
        <w:rPr>
          <w:b/>
          <w:bCs/>
          <w:rtl/>
          <w:lang w:bidi="ar"/>
        </w:rPr>
        <w:t>وضابطه كل جمع بعد ألف تكسيره حرفان أو ثلاثة أوسطها ساكن</w:t>
      </w:r>
      <w:r>
        <w:rPr>
          <w:rFonts w:hint="cs"/>
          <w:b/>
          <w:bCs/>
          <w:rtl/>
          <w:lang w:bidi="ar"/>
        </w:rPr>
        <w:t xml:space="preserve">, فمن الأول مساجد ومعارك, ومن الثاني مصابيح وقناديل, وثمة صيغ لمنتهى الجموع منها: فُعَلاء كخلفاء </w:t>
      </w:r>
      <w:proofErr w:type="spellStart"/>
      <w:r>
        <w:rPr>
          <w:rFonts w:hint="cs"/>
          <w:b/>
          <w:bCs/>
          <w:rtl/>
          <w:lang w:bidi="ar"/>
        </w:rPr>
        <w:t>وأفْعِلاء</w:t>
      </w:r>
      <w:proofErr w:type="spellEnd"/>
      <w:r>
        <w:rPr>
          <w:rFonts w:hint="cs"/>
          <w:b/>
          <w:bCs/>
          <w:rtl/>
          <w:lang w:bidi="ar"/>
        </w:rPr>
        <w:t xml:space="preserve"> كأقوياء وفواعل كشواعر </w:t>
      </w:r>
      <w:proofErr w:type="spellStart"/>
      <w:r>
        <w:rPr>
          <w:rFonts w:hint="cs"/>
          <w:b/>
          <w:bCs/>
          <w:rtl/>
          <w:lang w:bidi="ar"/>
        </w:rPr>
        <w:t>وفعالل</w:t>
      </w:r>
      <w:proofErr w:type="spellEnd"/>
      <w:r>
        <w:rPr>
          <w:rFonts w:hint="cs"/>
          <w:b/>
          <w:bCs/>
          <w:rtl/>
          <w:lang w:bidi="ar"/>
        </w:rPr>
        <w:t xml:space="preserve"> كدراهم ونحو ذلك.</w:t>
      </w:r>
    </w:p>
    <w:p w:rsidR="00A95A4B" w:rsidRDefault="00A95A4B" w:rsidP="00A95A4B">
      <w:pPr>
        <w:rPr>
          <w:b/>
          <w:bCs/>
          <w:rtl/>
          <w:lang w:bidi="ar"/>
        </w:rPr>
      </w:pPr>
      <w:r>
        <w:rPr>
          <w:rFonts w:hint="cs"/>
          <w:b/>
          <w:bCs/>
          <w:rtl/>
          <w:lang w:bidi="ar"/>
        </w:rPr>
        <w:t xml:space="preserve">     إذا  كان الجمع المتناهي مختوما بالياء عومل معاملة الاسم المنقوص بحذف يائه والتعويض عنها بالتنوين في حالتي النصب والجر, وتظهر الفتح في حالة النصب فنقول: جاءت جوارٍ وسلمتُ على جوارٍ ورأيتُ جواريَ, كما نقول: جاء قاضٍ وسلمتُ على قاضٍ ورأيتُ قاضياً ولكن الفرق أن الاسم المنقوص يكون مصروفا فنقول في إعراب قاضٍ : مجرور وعلامة جره الكسرة المقدرة على الياء المحذوفة في حين يكون الجمع المتناهي ممنوعا من الصرف, فنقول في إعراب جوارٍ ونحوه:  ممنوع من الصرف مجرور وعلامة جره الفتحة المقدرة على الياء المحذوفة التي عوض عنها بالتنوين.  </w:t>
      </w:r>
    </w:p>
    <w:p w:rsidR="00A95A4B" w:rsidRDefault="00A95A4B" w:rsidP="00A95A4B">
      <w:pPr>
        <w:rPr>
          <w:rtl/>
          <w:lang w:bidi="ar"/>
        </w:rPr>
      </w:pPr>
      <w:r>
        <w:rPr>
          <w:rFonts w:hint="cs"/>
          <w:rtl/>
          <w:lang w:bidi="ar"/>
        </w:rPr>
        <w:t xml:space="preserve">    إذا أسمينا شخصا بإحدى صيغ منتهى الجموع فإننا نمنعه من الصرف فنقول في من اسمه مصابيح حضر مصابيحُ ورأيتُ مصابيحَ وسلمتُ على مصابيحَ’, وإذا كان اللفظ مشابها لإحدى صيغ منتهى الجموع فإنه يمنع من الصرف كذلك فنقول في سراويل هذه سراويلُ ورأيتُ سراويلَ ونظرتُ إلى سراويلَ .</w:t>
      </w:r>
    </w:p>
    <w:p w:rsidR="00A95A4B" w:rsidRDefault="00A95A4B" w:rsidP="00A95A4B">
      <w:pPr>
        <w:rPr>
          <w:rtl/>
          <w:lang w:bidi="ar"/>
        </w:rPr>
      </w:pPr>
    </w:p>
    <w:p w:rsidR="00FC09A4" w:rsidRDefault="00FC09A4">
      <w:pPr>
        <w:rPr>
          <w:lang w:bidi="ar"/>
        </w:rPr>
      </w:pPr>
    </w:p>
    <w:sectPr w:rsidR="00FC09A4" w:rsidSect="00DB12EA">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A4B"/>
    <w:rsid w:val="000F1680"/>
    <w:rsid w:val="00A95A4B"/>
    <w:rsid w:val="00DB12EA"/>
    <w:rsid w:val="00FC09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A4B"/>
    <w:pPr>
      <w:bidi/>
    </w:pPr>
    <w:rPr>
      <w:rFonts w:ascii="Simplified Arabic" w:hAnsi="Simplified Arabic" w:cs="Simplified Arabic"/>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A4B"/>
    <w:pPr>
      <w:bidi/>
    </w:pPr>
    <w:rPr>
      <w:rFonts w:ascii="Simplified Arabic" w:hAnsi="Simplified Arabic" w:cs="Simplified Arabic"/>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208</Words>
  <Characters>1191</Characters>
  <Application>Microsoft Office Word</Application>
  <DocSecurity>0</DocSecurity>
  <Lines>9</Lines>
  <Paragraphs>2</Paragraphs>
  <ScaleCrop>false</ScaleCrop>
  <Company/>
  <LinksUpToDate>false</LinksUpToDate>
  <CharactersWithSpaces>1397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SALAH</dc:creator>
  <cp:lastModifiedBy>SALAH</cp:lastModifiedBy>
  <cp:revision>4</cp:revision>
  <dcterms:created xsi:type="dcterms:W3CDTF">2018-12-18T14:59:00Z</dcterms:created>
  <dcterms:modified xsi:type="dcterms:W3CDTF">2018-12-18T15:06:00Z</dcterms:modified>
</cp:coreProperties>
</file>