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C1171C" w:rsidRPr="00C1171C" w:rsidRDefault="00C1171C" w:rsidP="00C1171C">
      <w:pPr>
        <w:jc w:val="center"/>
        <w:rPr>
          <w:rFonts w:ascii="Hacen Liner XL" w:eastAsiaTheme="minorHAnsi" w:hAnsi="Hacen Liner XL" w:cs="Hacen Liner XL" w:hint="cs"/>
          <w:b/>
          <w:bCs/>
          <w:sz w:val="40"/>
          <w:szCs w:val="40"/>
          <w:highlight w:val="magenta"/>
          <w:u w:val="single"/>
          <w:rtl/>
          <w:lang w:bidi="ar-IQ"/>
        </w:rPr>
      </w:pPr>
      <w:bookmarkStart w:id="0" w:name="_GoBack"/>
      <w:r w:rsidRPr="00C1171C">
        <w:rPr>
          <w:rFonts w:ascii="Hacen Liner XL" w:hAnsi="Hacen Liner XL" w:cs="Hacen Liner XL"/>
          <w:b/>
          <w:bCs/>
          <w:sz w:val="40"/>
          <w:szCs w:val="40"/>
          <w:highlight w:val="magenta"/>
          <w:u w:val="single"/>
          <w:rtl/>
          <w:lang w:bidi="ar-IQ"/>
        </w:rPr>
        <w:t>المواطنة في التشريعات والقوانين المختلفة</w:t>
      </w:r>
      <w:r w:rsidRPr="00C1171C">
        <w:rPr>
          <w:rFonts w:ascii="Hacen Liner XL" w:eastAsiaTheme="minorHAnsi" w:hAnsi="Hacen Liner XL" w:cs="Hacen Liner XL" w:hint="cs"/>
          <w:b/>
          <w:bCs/>
          <w:sz w:val="40"/>
          <w:szCs w:val="40"/>
          <w:highlight w:val="magenta"/>
          <w:u w:val="single"/>
          <w:rtl/>
          <w:lang w:bidi="ar-IQ"/>
        </w:rPr>
        <w:t xml:space="preserve"> </w:t>
      </w:r>
    </w:p>
    <w:bookmarkEnd w:id="0"/>
    <w:p w:rsidR="00C1171C" w:rsidRPr="00C1171C" w:rsidRDefault="00C1171C" w:rsidP="00C1171C">
      <w:pPr>
        <w:jc w:val="center"/>
        <w:rPr>
          <w:rFonts w:asciiTheme="minorHAnsi" w:eastAsiaTheme="minorHAnsi" w:hAnsiTheme="minorHAnsi" w:cstheme="minorBidi"/>
          <w:b/>
          <w:bCs/>
          <w:color w:val="1F497D" w:themeColor="text2"/>
          <w:sz w:val="40"/>
          <w:szCs w:val="40"/>
          <w:highlight w:val="green"/>
          <w:rtl/>
          <w:lang w:bidi="ar-IQ"/>
        </w:rPr>
      </w:pPr>
      <w:r w:rsidRPr="00C1171C">
        <w:rPr>
          <w:rFonts w:ascii="Hacen Liner XL" w:eastAsiaTheme="minorHAnsi"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C1171C" w:rsidRPr="00C1171C" w:rsidRDefault="00C1171C" w:rsidP="00C1171C">
      <w:pPr>
        <w:rPr>
          <w:rFonts w:asciiTheme="minorHAnsi" w:eastAsiaTheme="minorHAnsi" w:hAnsiTheme="minorHAnsi" w:cstheme="minorBidi"/>
          <w:sz w:val="40"/>
          <w:szCs w:val="40"/>
          <w:rtl/>
          <w:lang w:bidi="ar-IQ"/>
        </w:rPr>
      </w:pPr>
      <w:r w:rsidRPr="00C1171C">
        <w:rPr>
          <w:rFonts w:asciiTheme="minorHAnsi" w:eastAsiaTheme="minorHAnsi" w:hAnsiTheme="minorHAnsi" w:cstheme="minorBidi" w:hint="cs"/>
          <w:b/>
          <w:bCs/>
          <w:color w:val="1F497D" w:themeColor="text2"/>
          <w:sz w:val="40"/>
          <w:szCs w:val="40"/>
          <w:highlight w:val="green"/>
          <w:rtl/>
          <w:lang w:bidi="ar-IQ"/>
        </w:rPr>
        <w:t>استاذ المادة/ المدرس الدكتور انتصار عبد عون محسن</w:t>
      </w:r>
    </w:p>
    <w:p w:rsidR="00C1171C" w:rsidRPr="00C1171C" w:rsidRDefault="00C1171C" w:rsidP="00C1171C">
      <w:pPr>
        <w:tabs>
          <w:tab w:val="left" w:pos="1036"/>
        </w:tabs>
        <w:spacing w:line="240" w:lineRule="auto"/>
        <w:ind w:left="-523" w:right="-142" w:firstLine="567"/>
        <w:jc w:val="both"/>
        <w:rPr>
          <w:rFonts w:ascii="Hacen Liner XL" w:hAnsi="Hacen Liner XL" w:cs="Hacen Liner XL"/>
          <w:color w:val="FFFFFF"/>
          <w:sz w:val="40"/>
          <w:szCs w:val="40"/>
          <w:rtl/>
          <w:lang w:bidi="ar-IQ"/>
        </w:rPr>
      </w:pPr>
      <w:r w:rsidRPr="00C1171C">
        <w:rPr>
          <w:rFonts w:ascii="Hacen Liner XL" w:hAnsi="Hacen Liner XL" w:cs="Hacen Liner XL"/>
          <w:color w:val="FFFFFF"/>
          <w:sz w:val="40"/>
          <w:szCs w:val="40"/>
          <w:highlight w:val="lightGray"/>
          <w:rtl/>
          <w:lang w:bidi="ar-IQ"/>
        </w:rPr>
        <w:t>الواجبات والامتيازات</w:t>
      </w:r>
    </w:p>
    <w:p w:rsidR="00C1171C" w:rsidRPr="00C1171C" w:rsidRDefault="00C1171C" w:rsidP="00C1171C">
      <w:pPr>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تجب على المواطن في الدولة الإسلامية المسؤوليات التالية:-</w:t>
      </w:r>
    </w:p>
    <w:p w:rsidR="00C1171C" w:rsidRPr="00C1171C" w:rsidRDefault="00C1171C" w:rsidP="00C1171C">
      <w:pPr>
        <w:pStyle w:val="ListParagraph1"/>
        <w:numPr>
          <w:ilvl w:val="0"/>
          <w:numId w:val="1"/>
        </w:numPr>
        <w:tabs>
          <w:tab w:val="left" w:pos="1036"/>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الولاء للدولة .</w:t>
      </w:r>
    </w:p>
    <w:p w:rsidR="00C1171C" w:rsidRPr="00C1171C" w:rsidRDefault="00C1171C" w:rsidP="00C1171C">
      <w:pPr>
        <w:pStyle w:val="ListParagraph1"/>
        <w:numPr>
          <w:ilvl w:val="0"/>
          <w:numId w:val="1"/>
        </w:numPr>
        <w:tabs>
          <w:tab w:val="left" w:pos="1036"/>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الدفاع عنها.</w:t>
      </w:r>
    </w:p>
    <w:p w:rsidR="00C1171C" w:rsidRPr="00C1171C" w:rsidRDefault="00C1171C" w:rsidP="00C1171C">
      <w:pPr>
        <w:pStyle w:val="ListParagraph1"/>
        <w:numPr>
          <w:ilvl w:val="0"/>
          <w:numId w:val="1"/>
        </w:numPr>
        <w:tabs>
          <w:tab w:val="left" w:pos="1036"/>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التكافل الاجتماعي.</w:t>
      </w:r>
    </w:p>
    <w:p w:rsidR="00C1171C" w:rsidRPr="00C1171C" w:rsidRDefault="00C1171C" w:rsidP="00C1171C">
      <w:pPr>
        <w:pStyle w:val="ListParagraph1"/>
        <w:numPr>
          <w:ilvl w:val="0"/>
          <w:numId w:val="1"/>
        </w:numPr>
        <w:tabs>
          <w:tab w:val="left" w:pos="1036"/>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المساهمة في الدفاع عن القيم الإسلامية.</w:t>
      </w:r>
    </w:p>
    <w:p w:rsidR="00C1171C" w:rsidRPr="00C1171C" w:rsidRDefault="00C1171C" w:rsidP="00C1171C">
      <w:pPr>
        <w:pStyle w:val="ListParagraph1"/>
        <w:numPr>
          <w:ilvl w:val="0"/>
          <w:numId w:val="1"/>
        </w:numPr>
        <w:tabs>
          <w:tab w:val="left" w:pos="1036"/>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الطاعة للقيادة العليا للدولة .</w:t>
      </w:r>
    </w:p>
    <w:p w:rsidR="00C1171C" w:rsidRPr="00C1171C" w:rsidRDefault="00C1171C" w:rsidP="00C1171C">
      <w:pPr>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وهذه الواجبات لا تخص المواطن وحده، وإنما تشمل كل مسلم في داخل البلد الإسلامي أو خارجه.</w:t>
      </w:r>
    </w:p>
    <w:p w:rsidR="00C1171C" w:rsidRPr="00C1171C" w:rsidRDefault="00C1171C" w:rsidP="00C1171C">
      <w:pPr>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ويتمتع المواطن بما يلي:-</w:t>
      </w:r>
    </w:p>
    <w:p w:rsidR="00C1171C" w:rsidRPr="00C1171C" w:rsidRDefault="00C1171C" w:rsidP="00C1171C">
      <w:pPr>
        <w:pStyle w:val="ListParagraph1"/>
        <w:numPr>
          <w:ilvl w:val="0"/>
          <w:numId w:val="2"/>
        </w:numPr>
        <w:tabs>
          <w:tab w:val="left" w:pos="611"/>
        </w:tabs>
        <w:spacing w:line="240" w:lineRule="auto"/>
        <w:ind w:left="-523" w:right="-142" w:firstLine="567"/>
        <w:jc w:val="both"/>
        <w:rPr>
          <w:rFonts w:cs="Simplified Arabic"/>
          <w:sz w:val="40"/>
          <w:szCs w:val="40"/>
          <w:lang w:bidi="ar-IQ"/>
        </w:rPr>
      </w:pPr>
      <w:r w:rsidRPr="00C1171C">
        <w:rPr>
          <w:rFonts w:cs="Simplified Arabic" w:hint="cs"/>
          <w:b/>
          <w:bCs/>
          <w:sz w:val="40"/>
          <w:szCs w:val="40"/>
          <w:rtl/>
          <w:lang w:bidi="ar-IQ"/>
        </w:rPr>
        <w:t>حق المساهمة في الحكم بمختلف الطرق والأشكال القانونية</w:t>
      </w:r>
      <w:r w:rsidRPr="00C1171C">
        <w:rPr>
          <w:rFonts w:cs="Simplified Arabic" w:hint="cs"/>
          <w:sz w:val="40"/>
          <w:szCs w:val="40"/>
          <w:rtl/>
          <w:lang w:bidi="ar-IQ"/>
        </w:rPr>
        <w:t>.</w:t>
      </w:r>
    </w:p>
    <w:p w:rsidR="00C1171C" w:rsidRPr="00C1171C" w:rsidRDefault="00C1171C" w:rsidP="00C1171C">
      <w:pPr>
        <w:pStyle w:val="ListParagraph1"/>
        <w:numPr>
          <w:ilvl w:val="0"/>
          <w:numId w:val="2"/>
        </w:numPr>
        <w:tabs>
          <w:tab w:val="left" w:pos="611"/>
        </w:tabs>
        <w:spacing w:line="240" w:lineRule="auto"/>
        <w:ind w:left="-523" w:right="-142" w:firstLine="567"/>
        <w:jc w:val="both"/>
        <w:rPr>
          <w:rFonts w:cs="Simplified Arabic"/>
          <w:sz w:val="40"/>
          <w:szCs w:val="40"/>
          <w:lang w:bidi="ar-IQ"/>
        </w:rPr>
      </w:pPr>
      <w:r w:rsidRPr="00C1171C">
        <w:rPr>
          <w:rFonts w:cs="Simplified Arabic" w:hint="cs"/>
          <w:b/>
          <w:bCs/>
          <w:sz w:val="40"/>
          <w:szCs w:val="40"/>
          <w:rtl/>
          <w:lang w:bidi="ar-IQ"/>
        </w:rPr>
        <w:t>حرية التحرك السياسي في ضوء الضوابط التي يضعها القانون</w:t>
      </w:r>
      <w:r w:rsidRPr="00C1171C">
        <w:rPr>
          <w:rFonts w:cs="Simplified Arabic" w:hint="cs"/>
          <w:sz w:val="40"/>
          <w:szCs w:val="40"/>
          <w:rtl/>
          <w:lang w:bidi="ar-IQ"/>
        </w:rPr>
        <w:t>.</w:t>
      </w:r>
    </w:p>
    <w:p w:rsidR="00C1171C" w:rsidRPr="00C1171C" w:rsidRDefault="00C1171C" w:rsidP="00C1171C">
      <w:pPr>
        <w:pStyle w:val="ListParagraph1"/>
        <w:numPr>
          <w:ilvl w:val="0"/>
          <w:numId w:val="2"/>
        </w:numPr>
        <w:tabs>
          <w:tab w:val="left" w:pos="611"/>
        </w:tabs>
        <w:spacing w:line="240" w:lineRule="auto"/>
        <w:ind w:left="-523" w:right="-142" w:firstLine="567"/>
        <w:jc w:val="both"/>
        <w:rPr>
          <w:rFonts w:cs="Simplified Arabic"/>
          <w:sz w:val="40"/>
          <w:szCs w:val="40"/>
          <w:lang w:bidi="ar-IQ"/>
        </w:rPr>
      </w:pPr>
      <w:r w:rsidRPr="00C1171C">
        <w:rPr>
          <w:rFonts w:cs="Simplified Arabic" w:hint="cs"/>
          <w:b/>
          <w:bCs/>
          <w:sz w:val="40"/>
          <w:szCs w:val="40"/>
          <w:rtl/>
          <w:lang w:bidi="ar-IQ"/>
        </w:rPr>
        <w:t>يتمتع بحماية الدولة الإسلامية في الجانب الاقتصادي والاجتماعي والصحي والثقافي والأمني</w:t>
      </w:r>
      <w:r w:rsidRPr="00C1171C">
        <w:rPr>
          <w:rFonts w:cs="Simplified Arabic" w:hint="cs"/>
          <w:sz w:val="40"/>
          <w:szCs w:val="40"/>
          <w:rtl/>
          <w:lang w:bidi="ar-IQ"/>
        </w:rPr>
        <w:t>.</w:t>
      </w:r>
    </w:p>
    <w:p w:rsidR="00C1171C" w:rsidRPr="00C1171C" w:rsidRDefault="00C1171C" w:rsidP="00C1171C">
      <w:pPr>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lastRenderedPageBreak/>
        <w:t>والرعايا في الدولة الإسلامية ينقسمون إلى قسمين:-</w:t>
      </w:r>
    </w:p>
    <w:p w:rsidR="00C1171C" w:rsidRPr="00C1171C" w:rsidRDefault="00C1171C" w:rsidP="00C1171C">
      <w:pPr>
        <w:pStyle w:val="ListParagraph1"/>
        <w:numPr>
          <w:ilvl w:val="0"/>
          <w:numId w:val="3"/>
        </w:numPr>
        <w:tabs>
          <w:tab w:val="left" w:pos="611"/>
        </w:tabs>
        <w:spacing w:line="240" w:lineRule="auto"/>
        <w:ind w:left="-523" w:right="-142" w:firstLine="567"/>
        <w:jc w:val="both"/>
        <w:rPr>
          <w:rFonts w:cs="Simplified Arabic"/>
          <w:sz w:val="40"/>
          <w:szCs w:val="40"/>
          <w:lang w:bidi="ar-IQ"/>
        </w:rPr>
      </w:pPr>
      <w:r w:rsidRPr="00C1171C">
        <w:rPr>
          <w:rFonts w:cs="Simplified Arabic" w:hint="cs"/>
          <w:b/>
          <w:bCs/>
          <w:sz w:val="40"/>
          <w:szCs w:val="40"/>
          <w:rtl/>
          <w:lang w:bidi="ar-IQ"/>
        </w:rPr>
        <w:t xml:space="preserve">رعايا غير مواطنين أو مواطنون من الدرجة الثانية </w:t>
      </w:r>
      <w:r w:rsidRPr="00C1171C">
        <w:rPr>
          <w:rFonts w:cs="Simplified Arabic"/>
          <w:b/>
          <w:bCs/>
          <w:sz w:val="40"/>
          <w:szCs w:val="40"/>
          <w:rtl/>
          <w:lang w:bidi="ar-IQ"/>
        </w:rPr>
        <w:t>–</w:t>
      </w:r>
      <w:r w:rsidRPr="00C1171C">
        <w:rPr>
          <w:rFonts w:cs="Simplified Arabic" w:hint="cs"/>
          <w:b/>
          <w:bCs/>
          <w:sz w:val="40"/>
          <w:szCs w:val="40"/>
          <w:rtl/>
          <w:lang w:bidi="ar-IQ"/>
        </w:rPr>
        <w:t xml:space="preserve"> وهم غير المسلمين من أهل الكتاب</w:t>
      </w:r>
      <w:r w:rsidRPr="00C1171C">
        <w:rPr>
          <w:rFonts w:cs="Simplified Arabic" w:hint="cs"/>
          <w:sz w:val="40"/>
          <w:szCs w:val="40"/>
          <w:rtl/>
          <w:lang w:bidi="ar-IQ"/>
        </w:rPr>
        <w:t>.</w:t>
      </w:r>
    </w:p>
    <w:p w:rsidR="00C1171C" w:rsidRPr="00C1171C" w:rsidRDefault="00C1171C" w:rsidP="00C1171C">
      <w:pPr>
        <w:pStyle w:val="ListParagraph1"/>
        <w:numPr>
          <w:ilvl w:val="0"/>
          <w:numId w:val="3"/>
        </w:numPr>
        <w:tabs>
          <w:tab w:val="left" w:pos="611"/>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وهؤلاء على نوعين:-</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b/>
          <w:bCs/>
          <w:sz w:val="40"/>
          <w:szCs w:val="40"/>
          <w:rtl/>
          <w:lang w:bidi="ar-IQ"/>
        </w:rPr>
        <w:t>النوع الأول:</w:t>
      </w:r>
      <w:r w:rsidRPr="00C1171C">
        <w:rPr>
          <w:rFonts w:cs="Simplified Arabic" w:hint="cs"/>
          <w:sz w:val="40"/>
          <w:szCs w:val="40"/>
          <w:rtl/>
          <w:lang w:bidi="ar-IQ"/>
        </w:rPr>
        <w:t xml:space="preserve"> وهم الذين يصطلح عليهم إسلامياً بأهل الذمة وهو اصطلاح يقصد به أهل الكتاب الذين تعاهدوا مع الدولة الإسلامية بعد الحرب على ان يسكنوا داخل حدودها بالشروط التي يتفقون عليها.</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b/>
          <w:bCs/>
          <w:sz w:val="40"/>
          <w:szCs w:val="40"/>
          <w:rtl/>
          <w:lang w:bidi="ar-IQ"/>
        </w:rPr>
        <w:t>النوع الثاني:-</w:t>
      </w:r>
      <w:r w:rsidRPr="00C1171C">
        <w:rPr>
          <w:rFonts w:cs="Simplified Arabic" w:hint="cs"/>
          <w:sz w:val="40"/>
          <w:szCs w:val="40"/>
          <w:rtl/>
          <w:lang w:bidi="ar-IQ"/>
        </w:rPr>
        <w:t xml:space="preserve"> من الرعايا غير المواطنين هم الداخلون في أمان المسلمين دون حرب سابقة.</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ان هؤلاء الرعايا وفي كلا النوعين تحتضنهم الدول الإسلامية وتوفر لهم كامل حقوقهم إلا إنهم لا يساهمون في حكومة الدولة الإسلامية بالمستوى الذي يساهم فيه المسلمون حيث لا يحق لهم الترشيح إلى موقع القيادة ولا رئاسة الجمهورية وان ساهموا في ما دون ذلك.</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كما انهم لا يتمتعون بنفس الحقوق الاجتماعية والثقافية التي يتمتع بها المسلمون حيث لا يحق لهم. التبليغ بأديانهم ونشر ثقافتهم، كما لا يحق لهم بناء معابد جديدة لهمن بل ذكر الفقهاء انه لا يسمح بان يعلو بناؤهم على أبنية المسلمين.</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أما حماية الدولة الإسلامية فأنها ثابتة لهم على السواء مع المواطنين المسلمين، طالما كانت شروط الذمة التي تعاهدوا عليها محفوظة.</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وقد ذكر فقهاء الإسلام مجموعة أحكام لأهل الذمة وهي:-</w:t>
      </w:r>
    </w:p>
    <w:p w:rsidR="00C1171C" w:rsidRPr="00C1171C" w:rsidRDefault="00C1171C" w:rsidP="00C1171C">
      <w:pPr>
        <w:pStyle w:val="ListParagraph1"/>
        <w:numPr>
          <w:ilvl w:val="0"/>
          <w:numId w:val="4"/>
        </w:numPr>
        <w:tabs>
          <w:tab w:val="left" w:pos="611"/>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 xml:space="preserve">لا يكون أهل الذمة إلا من أهل الكتاب، اما المشركون والكفرة فلا ذمة لهم مع الإسلام، ففي الحديث عن  الإمام الصادق (ع) ان رسول الله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كتب إلى أهل مكة: اسلموا والا نابذتكم بحرب فكتبوا إلى النبي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 ان خذ منا الجزية، ودعنا على عبادة الأوثان؛ فكتب إليهم النبي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إني لست اخذ الجزية إلا من أهل الكتاب.</w:t>
      </w:r>
    </w:p>
    <w:p w:rsidR="00C1171C" w:rsidRPr="00C1171C" w:rsidRDefault="00C1171C" w:rsidP="00C1171C">
      <w:pPr>
        <w:pStyle w:val="ListParagraph1"/>
        <w:tabs>
          <w:tab w:val="left" w:pos="611"/>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 xml:space="preserve">وقد كان هذا الكتاب من رسول الله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للسنة الأولى من الهجرة.</w:t>
      </w:r>
    </w:p>
    <w:p w:rsidR="00C1171C" w:rsidRPr="00C1171C" w:rsidRDefault="00C1171C" w:rsidP="00C1171C">
      <w:pPr>
        <w:pStyle w:val="ListParagraph1"/>
        <w:numPr>
          <w:ilvl w:val="0"/>
          <w:numId w:val="4"/>
        </w:numPr>
        <w:tabs>
          <w:tab w:val="left" w:pos="611"/>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دفع الجزية، قال تعالى:-</w:t>
      </w:r>
    </w:p>
    <w:p w:rsidR="00C1171C" w:rsidRPr="00C1171C" w:rsidRDefault="00C1171C" w:rsidP="00C1171C">
      <w:pPr>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 29.</w:t>
      </w:r>
    </w:p>
    <w:p w:rsidR="00C1171C" w:rsidRPr="00C1171C" w:rsidRDefault="00C1171C" w:rsidP="00C1171C">
      <w:pPr>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وليس للجزية قدر محدد وإنما في تحديدها للإمام ففي الحديث عن الإمام الصادق (ع) حين سئل عن الجزية قال:- ذلك إلى الإمام يأخذ من كل إنسان منهم ما يشاء على قدر ماله وما يطيق)).</w:t>
      </w:r>
    </w:p>
    <w:p w:rsidR="00C1171C" w:rsidRPr="00C1171C" w:rsidRDefault="00C1171C" w:rsidP="00C1171C">
      <w:pPr>
        <w:pStyle w:val="ListParagraph1"/>
        <w:numPr>
          <w:ilvl w:val="0"/>
          <w:numId w:val="4"/>
        </w:numPr>
        <w:tabs>
          <w:tab w:val="left" w:pos="611"/>
        </w:tabs>
        <w:spacing w:line="240" w:lineRule="auto"/>
        <w:ind w:left="-523" w:right="-142" w:firstLine="567"/>
        <w:jc w:val="both"/>
        <w:rPr>
          <w:rFonts w:cs="Simplified Arabic"/>
          <w:sz w:val="40"/>
          <w:szCs w:val="40"/>
          <w:lang w:bidi="ar-IQ"/>
        </w:rPr>
      </w:pPr>
      <w:r w:rsidRPr="00C1171C">
        <w:rPr>
          <w:rFonts w:cs="Simplified Arabic" w:hint="cs"/>
          <w:sz w:val="40"/>
          <w:szCs w:val="40"/>
          <w:rtl/>
          <w:lang w:bidi="ar-IQ"/>
        </w:rPr>
        <w:t>يبقى أهل الذمة على دينهم، ويمارسون أعمالهم بحرية كاملة عدا ما يؤثر منها على البيئة الإسلامية.</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ومن هنا انهم يمنعون عن التبشير لدينهم وتحريف عقيدة المسلمين رغم انهم يمارسون طقوسهم الدينية بكل حرية وعلن كما انهم يمنعون عن المجاهرة بالمحرمات التي تلوث البيئة الإسلامية وفي الحديث عن الإمام الصادق (ع):</w:t>
      </w:r>
    </w:p>
    <w:p w:rsidR="00C1171C" w:rsidRPr="00C1171C" w:rsidRDefault="00C1171C" w:rsidP="00C1171C">
      <w:pPr>
        <w:pStyle w:val="ListParagraph1"/>
        <w:tabs>
          <w:tab w:val="left" w:pos="1036"/>
        </w:tabs>
        <w:spacing w:line="240" w:lineRule="auto"/>
        <w:ind w:left="-523" w:right="-142" w:firstLine="567"/>
        <w:jc w:val="both"/>
        <w:rPr>
          <w:rFonts w:cs="Simplified Arabic"/>
          <w:sz w:val="40"/>
          <w:szCs w:val="40"/>
          <w:rtl/>
          <w:lang w:bidi="ar-IQ"/>
        </w:rPr>
      </w:pPr>
      <w:r w:rsidRPr="00C1171C">
        <w:rPr>
          <w:rFonts w:cs="Simplified Arabic" w:hint="cs"/>
          <w:sz w:val="40"/>
          <w:szCs w:val="40"/>
          <w:rtl/>
          <w:lang w:bidi="ar-IQ"/>
        </w:rPr>
        <w:t xml:space="preserve">ان رسول الله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قبل الجزية من أهل الذمة على ان لا يأكلوا الربا ولا يأكلوا لحم الخنزير ولا ينكحوا الأخوات ولا بنات الأخ ولا بنات الأخت فمن فعل ذلك منهم برئت منه ذمة الله ورسوله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w:t>
      </w:r>
    </w:p>
    <w:p w:rsidR="00C1171C" w:rsidRPr="00C1171C" w:rsidRDefault="00C1171C" w:rsidP="00C1171C">
      <w:pPr>
        <w:pStyle w:val="ListParagraph1"/>
        <w:tabs>
          <w:tab w:val="left" w:pos="1036"/>
        </w:tabs>
        <w:spacing w:line="240" w:lineRule="auto"/>
        <w:ind w:left="-523" w:right="-142" w:firstLine="567"/>
        <w:jc w:val="both"/>
        <w:rPr>
          <w:rFonts w:cs="Simplified Arabic" w:hint="cs"/>
          <w:sz w:val="40"/>
          <w:szCs w:val="40"/>
          <w:rtl/>
          <w:lang w:bidi="ar-IQ"/>
        </w:rPr>
      </w:pPr>
      <w:r w:rsidRPr="00C1171C">
        <w:rPr>
          <w:rFonts w:cs="Simplified Arabic" w:hint="cs"/>
          <w:sz w:val="40"/>
          <w:szCs w:val="40"/>
          <w:rtl/>
          <w:lang w:bidi="ar-IQ"/>
        </w:rPr>
        <w:t xml:space="preserve">وفي حديث آخر عنه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أيضاً:- إنما أعطى رسول الله ((صلى الله عليه </w:t>
      </w:r>
      <w:proofErr w:type="spellStart"/>
      <w:r w:rsidRPr="00C1171C">
        <w:rPr>
          <w:rFonts w:cs="Simplified Arabic" w:hint="cs"/>
          <w:sz w:val="40"/>
          <w:szCs w:val="40"/>
          <w:rtl/>
          <w:lang w:bidi="ar-IQ"/>
        </w:rPr>
        <w:t>وآله</w:t>
      </w:r>
      <w:proofErr w:type="spellEnd"/>
      <w:r w:rsidRPr="00C1171C">
        <w:rPr>
          <w:rFonts w:cs="Simplified Arabic" w:hint="cs"/>
          <w:sz w:val="40"/>
          <w:szCs w:val="40"/>
          <w:rtl/>
          <w:lang w:bidi="ar-IQ"/>
        </w:rPr>
        <w:t xml:space="preserve"> وسلم)) الذمة وقبل الجزية عن رؤوس أولئك بأعيانهم على ان لا يهودوا أولادهم ولا ينصروا)).</w:t>
      </w:r>
    </w:p>
    <w:p w:rsidR="00632541" w:rsidRPr="00C1171C" w:rsidRDefault="00632541">
      <w:pPr>
        <w:rPr>
          <w:sz w:val="40"/>
          <w:szCs w:val="40"/>
          <w:lang w:bidi="ar-IQ"/>
        </w:rPr>
      </w:pPr>
    </w:p>
    <w:sectPr w:rsidR="00632541" w:rsidRPr="00C1171C" w:rsidSect="00C1171C">
      <w:pgSz w:w="11906" w:h="16838"/>
      <w:pgMar w:top="1440" w:right="1800" w:bottom="1440" w:left="1800" w:header="708" w:footer="708" w:gutter="0"/>
      <w:pgBorders w:offsetFrom="page">
        <w:top w:val="basicBlackSquares" w:sz="9" w:space="24" w:color="auto"/>
        <w:left w:val="basicBlackSquares" w:sz="9" w:space="24" w:color="auto"/>
        <w:bottom w:val="basicBlackSquares" w:sz="9" w:space="24" w:color="auto"/>
        <w:right w:val="basicBlackSquares" w:sz="9"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77661"/>
    <w:multiLevelType w:val="hybridMultilevel"/>
    <w:tmpl w:val="8E387CE0"/>
    <w:lvl w:ilvl="0" w:tplc="F962E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535E2"/>
    <w:multiLevelType w:val="hybridMultilevel"/>
    <w:tmpl w:val="0E92402A"/>
    <w:lvl w:ilvl="0" w:tplc="B4B89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95765"/>
    <w:multiLevelType w:val="hybridMultilevel"/>
    <w:tmpl w:val="4FA6EE52"/>
    <w:lvl w:ilvl="0" w:tplc="A404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A193D"/>
    <w:multiLevelType w:val="hybridMultilevel"/>
    <w:tmpl w:val="AE3A8D98"/>
    <w:lvl w:ilvl="0" w:tplc="A06A8784">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1C"/>
    <w:rsid w:val="00632541"/>
    <w:rsid w:val="00AE706A"/>
    <w:rsid w:val="00C11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C11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C11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2024-08-06T17:51:00Z</dcterms:created>
  <dcterms:modified xsi:type="dcterms:W3CDTF">2024-08-06T17:55:00Z</dcterms:modified>
</cp:coreProperties>
</file>