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0000">
    <v:background id="_x0000_s1025" o:bwmode="white" fillcolor="red" o:targetscreensize="1024,768">
      <v:fill color2="#e5dfec [663]" focus="100%" type="gradient"/>
    </v:background>
  </w:background>
  <w:body>
    <w:p w:rsidR="00DE7B9A" w:rsidRPr="00DE7B9A" w:rsidRDefault="00DE7B9A" w:rsidP="00DE7B9A">
      <w:pPr>
        <w:tabs>
          <w:tab w:val="left" w:pos="84"/>
          <w:tab w:val="left" w:pos="1036"/>
        </w:tabs>
        <w:spacing w:line="240" w:lineRule="auto"/>
        <w:ind w:left="-523" w:right="-142" w:firstLine="567"/>
        <w:contextualSpacing/>
        <w:rPr>
          <w:rFonts w:ascii="Hacen Liner XL" w:eastAsia="Calibri" w:hAnsi="Hacen Liner XL" w:cs="Hacen Liner XL"/>
          <w:color w:val="FFFFFF" w:themeColor="background1"/>
          <w:sz w:val="40"/>
          <w:szCs w:val="40"/>
          <w:highlight w:val="darkBlue"/>
        </w:rPr>
      </w:pPr>
      <w:bookmarkStart w:id="0" w:name="_GoBack"/>
      <w:r>
        <w:rPr>
          <w:rFonts w:ascii="Hacen Liner XL" w:eastAsia="Calibri" w:hAnsi="Hacen Liner XL" w:cs="Hacen Liner XL" w:hint="cs"/>
          <w:color w:val="FFFFFF" w:themeColor="background1"/>
          <w:sz w:val="40"/>
          <w:szCs w:val="40"/>
          <w:highlight w:val="darkBlue"/>
          <w:rtl/>
        </w:rPr>
        <w:t xml:space="preserve">مفهوم </w:t>
      </w:r>
      <w:r w:rsidRPr="00DE7B9A">
        <w:rPr>
          <w:rFonts w:ascii="Hacen Liner XL" w:eastAsia="Calibri" w:hAnsi="Hacen Liner XL" w:cs="Hacen Liner XL"/>
          <w:color w:val="FFFFFF" w:themeColor="background1"/>
          <w:sz w:val="40"/>
          <w:szCs w:val="40"/>
          <w:highlight w:val="darkBlue"/>
          <w:rtl/>
        </w:rPr>
        <w:t>المواطنة</w:t>
      </w:r>
    </w:p>
    <w:p w:rsidR="00DE7B9A" w:rsidRPr="00DE7B9A" w:rsidRDefault="00DE7B9A" w:rsidP="00DE7B9A">
      <w:pPr>
        <w:jc w:val="center"/>
        <w:rPr>
          <w:rFonts w:hint="cs"/>
          <w:b/>
          <w:bCs/>
          <w:color w:val="1F497D" w:themeColor="text2"/>
          <w:sz w:val="40"/>
          <w:szCs w:val="40"/>
          <w:highlight w:val="green"/>
          <w:rtl/>
          <w:lang w:bidi="ar-IQ"/>
        </w:rPr>
      </w:pPr>
      <w:r w:rsidRPr="00DE7B9A">
        <w:rPr>
          <w:rFonts w:ascii="Hacen Liner XL" w:hAnsi="Hacen Liner XL" w:cs="Hacen Liner XL" w:hint="cs"/>
          <w:b/>
          <w:bCs/>
          <w:color w:val="1F497D" w:themeColor="text2"/>
          <w:sz w:val="40"/>
          <w:szCs w:val="40"/>
          <w:highlight w:val="green"/>
          <w:rtl/>
          <w:lang w:bidi="ar-IQ"/>
        </w:rPr>
        <w:t>محاضرة في مادة حقوق الانسان لطلبة المرحلة الاولى / قسم الفيزياء</w:t>
      </w:r>
    </w:p>
    <w:p w:rsidR="00DE7B9A" w:rsidRPr="00DE7B9A" w:rsidRDefault="00DE7B9A" w:rsidP="00C11155">
      <w:pPr>
        <w:tabs>
          <w:tab w:val="left" w:pos="7526"/>
        </w:tabs>
        <w:rPr>
          <w:rFonts w:hint="cs"/>
          <w:sz w:val="40"/>
          <w:szCs w:val="40"/>
          <w:rtl/>
          <w:lang w:bidi="ar-IQ"/>
        </w:rPr>
      </w:pPr>
      <w:r w:rsidRPr="00DE7B9A">
        <w:rPr>
          <w:rFonts w:hint="cs"/>
          <w:b/>
          <w:bCs/>
          <w:color w:val="1F497D" w:themeColor="text2"/>
          <w:sz w:val="40"/>
          <w:szCs w:val="40"/>
          <w:highlight w:val="green"/>
          <w:rtl/>
          <w:lang w:bidi="ar-IQ"/>
        </w:rPr>
        <w:t>استاذ المادة/ المدرس الدكتور انتصار عبد عون محسن</w:t>
      </w:r>
      <w:r w:rsidR="00C11155">
        <w:rPr>
          <w:b/>
          <w:bCs/>
          <w:color w:val="1F497D" w:themeColor="text2"/>
          <w:sz w:val="40"/>
          <w:szCs w:val="40"/>
          <w:highlight w:val="green"/>
          <w:rtl/>
          <w:lang w:bidi="ar-IQ"/>
        </w:rPr>
        <w:tab/>
      </w:r>
      <w:bookmarkEnd w:id="0"/>
    </w:p>
    <w:p w:rsidR="00DE7B9A" w:rsidRPr="00DE7B9A" w:rsidRDefault="00DE7B9A" w:rsidP="00DE7B9A">
      <w:pPr>
        <w:tabs>
          <w:tab w:val="left" w:pos="84"/>
          <w:tab w:val="left" w:pos="1036"/>
        </w:tabs>
        <w:spacing w:line="240" w:lineRule="auto"/>
        <w:ind w:left="-523" w:right="-142" w:firstLine="567"/>
        <w:contextualSpacing/>
        <w:rPr>
          <w:rFonts w:ascii="Hacen Liner XL" w:eastAsia="Calibri" w:hAnsi="Hacen Liner XL" w:cs="Hacen Liner XL"/>
          <w:color w:val="FFFFFF" w:themeColor="background1"/>
          <w:sz w:val="40"/>
          <w:szCs w:val="40"/>
          <w:highlight w:val="darkBlue"/>
        </w:rPr>
      </w:pPr>
      <w:r w:rsidRPr="00DE7B9A">
        <w:rPr>
          <w:rFonts w:ascii="Hacen Liner XL" w:eastAsia="Calibri" w:hAnsi="Hacen Liner XL" w:cs="Hacen Liner XL"/>
          <w:color w:val="FFFFFF" w:themeColor="background1"/>
          <w:sz w:val="40"/>
          <w:szCs w:val="40"/>
          <w:highlight w:val="darkBlue"/>
          <w:rtl/>
        </w:rPr>
        <w:t>المواطنة</w:t>
      </w:r>
    </w:p>
    <w:p w:rsidR="00DE7B9A" w:rsidRPr="00DE7B9A" w:rsidRDefault="00DE7B9A" w:rsidP="00DE7B9A">
      <w:pPr>
        <w:shd w:val="clear" w:color="auto" w:fill="FFFFFF"/>
        <w:spacing w:before="120" w:after="120" w:line="240" w:lineRule="auto"/>
        <w:jc w:val="both"/>
        <w:rPr>
          <w:rFonts w:ascii="Calibri" w:eastAsia="Calibri" w:hAnsi="Calibri" w:cs="Simplified Arabic"/>
          <w:sz w:val="40"/>
          <w:szCs w:val="40"/>
        </w:rPr>
      </w:pPr>
      <w:r w:rsidRPr="00DE7B9A">
        <w:rPr>
          <w:rFonts w:ascii="Calibri" w:eastAsia="Calibri" w:hAnsi="Calibri" w:cs="Simplified Arabic" w:hint="cs"/>
          <w:b/>
          <w:bCs/>
          <w:i/>
          <w:iCs/>
          <w:sz w:val="40"/>
          <w:szCs w:val="40"/>
          <w:u w:val="single"/>
          <w:shd w:val="clear" w:color="auto" w:fill="92D050"/>
          <w:rtl/>
        </w:rPr>
        <w:t>المواطنة:</w:t>
      </w:r>
      <w:r w:rsidRPr="00DE7B9A">
        <w:rPr>
          <w:rFonts w:ascii="Calibri" w:eastAsia="Calibri" w:hAnsi="Calibri" w:cs="Simplified Arabic" w:hint="cs"/>
          <w:sz w:val="40"/>
          <w:szCs w:val="40"/>
          <w:rtl/>
        </w:rPr>
        <w:t xml:space="preserve"> </w:t>
      </w:r>
      <w:r w:rsidRPr="00DE7B9A">
        <w:rPr>
          <w:rFonts w:ascii="Calibri" w:eastAsia="Calibri" w:hAnsi="Calibri" w:cs="Simplified Arabic"/>
          <w:sz w:val="40"/>
          <w:szCs w:val="40"/>
          <w:rtl/>
        </w:rPr>
        <w:t>تعني الفرد الذي يتمتع بعضوية بلد ما، ويستحق بذلك ما ترتبه تلك العضوية من امتيازات. وفي معناها السياسي، تُشير المواطنة إلى الحقوق التي تكفلها الدولة لمن يحمل جنسيتها، والالتزامات التي تفرضها عليه؛ أو قد تعني مشاركة الفرد في أمور وطنه، وما يشعره بالانتماء إليه. ومن المنظور الاقتصادي الاجتماعي، يُقصد بالمواطنة إشباع الحاجات الأساسية للأفراد، بحيث لا تشغلهم هموم الذات عن أمور الصالح العام، وفضلاً عن التفاف الناس حول مصالح وغايات مشتركة، بما يؤسس للتعاون والتكامل والعمل الجماعي المشترك</w:t>
      </w:r>
      <w:r w:rsidRPr="00DE7B9A">
        <w:rPr>
          <w:rFonts w:ascii="Calibri" w:eastAsia="Calibri" w:hAnsi="Calibri" w:cs="Simplified Arabic"/>
          <w:sz w:val="40"/>
          <w:szCs w:val="40"/>
        </w:rPr>
        <w:t>.</w:t>
      </w:r>
    </w:p>
    <w:p w:rsidR="00DE7B9A" w:rsidRPr="00DE7B9A" w:rsidRDefault="00DE7B9A" w:rsidP="00DE7B9A">
      <w:pPr>
        <w:tabs>
          <w:tab w:val="left" w:pos="84"/>
          <w:tab w:val="left" w:pos="1036"/>
        </w:tabs>
        <w:spacing w:line="240" w:lineRule="auto"/>
        <w:ind w:left="-523" w:right="-142" w:firstLine="567"/>
        <w:contextualSpacing/>
        <w:jc w:val="both"/>
        <w:rPr>
          <w:rFonts w:ascii="Hacen Liner XL" w:eastAsia="Calibri" w:hAnsi="Hacen Liner XL" w:cs="Hacen Liner XL" w:hint="cs"/>
          <w:color w:val="FFFFFF"/>
          <w:sz w:val="40"/>
          <w:szCs w:val="40"/>
          <w:highlight w:val="lightGray"/>
          <w:rtl/>
          <w:lang w:bidi="ar-IQ"/>
        </w:rPr>
      </w:pPr>
      <w:r w:rsidRPr="00DE7B9A">
        <w:rPr>
          <w:rFonts w:ascii="Hacen Liner XL" w:eastAsia="Calibri" w:hAnsi="Hacen Liner XL" w:cs="Hacen Liner XL" w:hint="cs"/>
          <w:color w:val="FFFFFF"/>
          <w:sz w:val="40"/>
          <w:szCs w:val="40"/>
          <w:highlight w:val="lightGray"/>
          <w:rtl/>
          <w:lang w:bidi="ar-IQ"/>
        </w:rPr>
        <w:t>العناصر الاساسية  للمواطنة</w:t>
      </w:r>
      <w:r w:rsidRPr="00DE7B9A">
        <w:rPr>
          <w:rFonts w:ascii="Simplified Arabic" w:eastAsia="Times New Roman" w:hAnsi="Simplified Arabic" w:cs="Simplified Arabic"/>
          <w:b/>
          <w:bCs/>
          <w:color w:val="252525"/>
          <w:sz w:val="40"/>
          <w:szCs w:val="40"/>
        </w:rPr>
        <w:t>:</w:t>
      </w:r>
    </w:p>
    <w:p w:rsidR="00DE7B9A" w:rsidRPr="00DE7B9A" w:rsidRDefault="00DE7B9A" w:rsidP="00DE7B9A">
      <w:pPr>
        <w:tabs>
          <w:tab w:val="left" w:pos="84"/>
          <w:tab w:val="left" w:pos="1036"/>
        </w:tabs>
        <w:spacing w:line="240" w:lineRule="auto"/>
        <w:ind w:left="-523" w:right="-142" w:firstLine="567"/>
        <w:contextualSpacing/>
        <w:jc w:val="both"/>
        <w:rPr>
          <w:rFonts w:ascii="Calibri" w:eastAsia="Calibri" w:hAnsi="Calibri" w:cs="Simplified Arabic" w:hint="cs"/>
          <w:sz w:val="40"/>
          <w:szCs w:val="40"/>
          <w:rtl/>
        </w:rPr>
      </w:pPr>
      <w:r w:rsidRPr="00DE7B9A">
        <w:rPr>
          <w:rFonts w:ascii="Calibri" w:eastAsia="Calibri" w:hAnsi="Calibri" w:cs="Simplified Arabic"/>
          <w:sz w:val="40"/>
          <w:szCs w:val="40"/>
          <w:rtl/>
        </w:rPr>
        <w:t>تتكون المواطنة من ثلاثة عناصر أساسية، هي</w:t>
      </w:r>
    </w:p>
    <w:p w:rsidR="00DE7B9A" w:rsidRPr="00DE7B9A" w:rsidRDefault="00DE7B9A" w:rsidP="00DE7B9A">
      <w:pPr>
        <w:tabs>
          <w:tab w:val="left" w:pos="84"/>
          <w:tab w:val="left" w:pos="1036"/>
        </w:tabs>
        <w:spacing w:line="240" w:lineRule="auto"/>
        <w:ind w:left="-523" w:right="-142" w:firstLine="567"/>
        <w:contextualSpacing/>
        <w:jc w:val="both"/>
        <w:rPr>
          <w:rFonts w:ascii="Calibri" w:eastAsia="Calibri" w:hAnsi="Calibri" w:cs="Simplified Arabic"/>
          <w:sz w:val="40"/>
          <w:szCs w:val="40"/>
          <w:rtl/>
        </w:rPr>
      </w:pPr>
      <w:r w:rsidRPr="00DE7B9A">
        <w:rPr>
          <w:rFonts w:ascii="Calibri" w:eastAsia="Calibri" w:hAnsi="Calibri" w:cs="Simplified Arabic" w:hint="cs"/>
          <w:sz w:val="40"/>
          <w:szCs w:val="40"/>
          <w:rtl/>
        </w:rPr>
        <w:t>1-</w:t>
      </w:r>
      <w:r w:rsidRPr="00DE7B9A">
        <w:rPr>
          <w:rFonts w:ascii="Calibri" w:eastAsia="Calibri" w:hAnsi="Calibri" w:cs="Simplified Arabic"/>
          <w:sz w:val="40"/>
          <w:szCs w:val="40"/>
          <w:rtl/>
        </w:rPr>
        <w:t>العنصر المدني</w:t>
      </w:r>
    </w:p>
    <w:p w:rsidR="00DE7B9A" w:rsidRPr="00DE7B9A" w:rsidRDefault="00DE7B9A" w:rsidP="00DE7B9A">
      <w:pPr>
        <w:tabs>
          <w:tab w:val="left" w:pos="84"/>
          <w:tab w:val="left" w:pos="1036"/>
        </w:tabs>
        <w:spacing w:line="240" w:lineRule="auto"/>
        <w:ind w:left="-523" w:right="-142" w:firstLine="567"/>
        <w:contextualSpacing/>
        <w:jc w:val="both"/>
        <w:rPr>
          <w:rFonts w:ascii="Calibri" w:eastAsia="Calibri" w:hAnsi="Calibri" w:cs="Simplified Arabic"/>
          <w:sz w:val="40"/>
          <w:szCs w:val="40"/>
        </w:rPr>
      </w:pPr>
      <w:r w:rsidRPr="00DE7B9A">
        <w:rPr>
          <w:rFonts w:ascii="Calibri" w:eastAsia="Calibri" w:hAnsi="Calibri" w:cs="Simplified Arabic" w:hint="cs"/>
          <w:sz w:val="40"/>
          <w:szCs w:val="40"/>
          <w:rtl/>
        </w:rPr>
        <w:t xml:space="preserve">   </w:t>
      </w:r>
      <w:r w:rsidRPr="00DE7B9A">
        <w:rPr>
          <w:rFonts w:ascii="Calibri" w:eastAsia="Calibri" w:hAnsi="Calibri" w:cs="Simplified Arabic"/>
          <w:sz w:val="40"/>
          <w:szCs w:val="40"/>
          <w:rtl/>
        </w:rPr>
        <w:t>يتضمن الحرية الفردية، وحرية التعبير والاعتقاد والإيمان، وحق التملك، والحق في العدالة، وتحقيق العنصر المدني في المواطنة في المؤسسات القضائية</w:t>
      </w:r>
      <w:r w:rsidRPr="00DE7B9A">
        <w:rPr>
          <w:rFonts w:ascii="Calibri" w:eastAsia="Calibri" w:hAnsi="Calibri" w:cs="Simplified Arabic"/>
          <w:sz w:val="40"/>
          <w:szCs w:val="40"/>
        </w:rPr>
        <w:t>.</w:t>
      </w:r>
    </w:p>
    <w:p w:rsidR="00DE7B9A" w:rsidRPr="00DE7B9A" w:rsidRDefault="00DE7B9A" w:rsidP="00DE7B9A">
      <w:pPr>
        <w:tabs>
          <w:tab w:val="left" w:pos="84"/>
          <w:tab w:val="left" w:pos="1036"/>
        </w:tabs>
        <w:spacing w:line="240" w:lineRule="auto"/>
        <w:ind w:left="-523" w:right="-142" w:firstLine="567"/>
        <w:contextualSpacing/>
        <w:jc w:val="both"/>
        <w:rPr>
          <w:rFonts w:ascii="Calibri" w:eastAsia="Calibri" w:hAnsi="Calibri" w:cs="Simplified Arabic"/>
          <w:sz w:val="40"/>
          <w:szCs w:val="40"/>
        </w:rPr>
      </w:pPr>
      <w:r w:rsidRPr="00DE7B9A">
        <w:rPr>
          <w:rFonts w:ascii="Calibri" w:eastAsia="Calibri" w:hAnsi="Calibri" w:cs="Simplified Arabic" w:hint="cs"/>
          <w:sz w:val="40"/>
          <w:szCs w:val="40"/>
          <w:rtl/>
        </w:rPr>
        <w:t>2-</w:t>
      </w:r>
      <w:r w:rsidRPr="00DE7B9A">
        <w:rPr>
          <w:rFonts w:ascii="Calibri" w:eastAsia="Calibri" w:hAnsi="Calibri" w:cs="Simplified Arabic"/>
          <w:sz w:val="40"/>
          <w:szCs w:val="40"/>
          <w:rtl/>
        </w:rPr>
        <w:t>العنصر السياسي</w:t>
      </w:r>
    </w:p>
    <w:p w:rsidR="00DE7B9A" w:rsidRPr="00DE7B9A" w:rsidRDefault="00DE7B9A" w:rsidP="00DE7B9A">
      <w:pPr>
        <w:tabs>
          <w:tab w:val="left" w:pos="84"/>
          <w:tab w:val="left" w:pos="1036"/>
        </w:tabs>
        <w:spacing w:line="240" w:lineRule="auto"/>
        <w:ind w:left="-523" w:right="-142" w:firstLine="567"/>
        <w:contextualSpacing/>
        <w:jc w:val="both"/>
        <w:rPr>
          <w:rFonts w:ascii="Calibri" w:eastAsia="Calibri" w:hAnsi="Calibri" w:cs="Simplified Arabic"/>
          <w:sz w:val="40"/>
          <w:szCs w:val="40"/>
        </w:rPr>
      </w:pPr>
      <w:r w:rsidRPr="00DE7B9A">
        <w:rPr>
          <w:rFonts w:ascii="Calibri" w:eastAsia="Calibri" w:hAnsi="Calibri" w:cs="Simplified Arabic" w:hint="cs"/>
          <w:sz w:val="40"/>
          <w:szCs w:val="40"/>
          <w:rtl/>
        </w:rPr>
        <w:lastRenderedPageBreak/>
        <w:t xml:space="preserve">   </w:t>
      </w:r>
      <w:r w:rsidRPr="00DE7B9A">
        <w:rPr>
          <w:rFonts w:ascii="Calibri" w:eastAsia="Calibri" w:hAnsi="Calibri" w:cs="Simplified Arabic"/>
          <w:sz w:val="40"/>
          <w:szCs w:val="40"/>
          <w:rtl/>
        </w:rPr>
        <w:t>يعني الحق في المشاركة في الحياة السياسية بوصف المواطن عنصراً فاعلاً في السلطة السياسية، من خلال البرلمان</w:t>
      </w:r>
      <w:r w:rsidRPr="00DE7B9A">
        <w:rPr>
          <w:rFonts w:ascii="Calibri" w:eastAsia="Calibri" w:hAnsi="Calibri" w:cs="Simplified Arabic"/>
          <w:sz w:val="40"/>
          <w:szCs w:val="40"/>
        </w:rPr>
        <w:t>.</w:t>
      </w:r>
    </w:p>
    <w:p w:rsidR="00DE7B9A" w:rsidRPr="00DE7B9A" w:rsidRDefault="00DE7B9A" w:rsidP="00DE7B9A">
      <w:pPr>
        <w:tabs>
          <w:tab w:val="left" w:pos="84"/>
          <w:tab w:val="left" w:pos="1036"/>
        </w:tabs>
        <w:spacing w:line="240" w:lineRule="auto"/>
        <w:ind w:left="-523" w:right="-142" w:firstLine="567"/>
        <w:contextualSpacing/>
        <w:jc w:val="both"/>
        <w:rPr>
          <w:rFonts w:ascii="Calibri" w:eastAsia="Calibri" w:hAnsi="Calibri" w:cs="Simplified Arabic"/>
          <w:sz w:val="40"/>
          <w:szCs w:val="40"/>
        </w:rPr>
      </w:pPr>
      <w:r w:rsidRPr="00DE7B9A">
        <w:rPr>
          <w:rFonts w:ascii="Calibri" w:eastAsia="Calibri" w:hAnsi="Calibri" w:cs="Simplified Arabic" w:hint="cs"/>
          <w:sz w:val="40"/>
          <w:szCs w:val="40"/>
          <w:rtl/>
        </w:rPr>
        <w:t>3-</w:t>
      </w:r>
      <w:r w:rsidRPr="00DE7B9A">
        <w:rPr>
          <w:rFonts w:ascii="Calibri" w:eastAsia="Calibri" w:hAnsi="Calibri" w:cs="Simplified Arabic"/>
          <w:sz w:val="40"/>
          <w:szCs w:val="40"/>
          <w:rtl/>
        </w:rPr>
        <w:t>العنصر الاجتماعي</w:t>
      </w:r>
    </w:p>
    <w:p w:rsidR="00DE7B9A" w:rsidRPr="00DE7B9A" w:rsidRDefault="00DE7B9A" w:rsidP="00DE7B9A">
      <w:pPr>
        <w:tabs>
          <w:tab w:val="left" w:pos="84"/>
          <w:tab w:val="left" w:pos="1036"/>
        </w:tabs>
        <w:spacing w:line="240" w:lineRule="auto"/>
        <w:ind w:left="-523" w:right="-142" w:firstLine="567"/>
        <w:contextualSpacing/>
        <w:jc w:val="both"/>
        <w:rPr>
          <w:rFonts w:ascii="Calibri" w:eastAsia="Calibri" w:hAnsi="Calibri" w:cs="Simplified Arabic"/>
          <w:sz w:val="40"/>
          <w:szCs w:val="40"/>
        </w:rPr>
      </w:pPr>
      <w:r w:rsidRPr="00DE7B9A">
        <w:rPr>
          <w:rFonts w:ascii="Calibri" w:eastAsia="Calibri" w:hAnsi="Calibri" w:cs="Simplified Arabic" w:hint="cs"/>
          <w:sz w:val="40"/>
          <w:szCs w:val="40"/>
          <w:rtl/>
        </w:rPr>
        <w:t xml:space="preserve">  </w:t>
      </w:r>
      <w:r w:rsidRPr="00DE7B9A">
        <w:rPr>
          <w:rFonts w:ascii="Calibri" w:eastAsia="Calibri" w:hAnsi="Calibri" w:cs="Simplified Arabic"/>
          <w:sz w:val="40"/>
          <w:szCs w:val="40"/>
          <w:rtl/>
        </w:rPr>
        <w:t>يعني تمتع المواطن بخدمات الرفاهية الاجتماعية وإشباع حقوقه الاقتصادية، والتي تتضمن التعليم، وحسن الرعاية الصحية، على سبيل المثال لا الحصر. ولهذا يُقال عن كل كائن بشري أنه يتمتع بالمواطنة، إذا كان يتمتع بخصائص اجتماعية معينة، لها معناها السياسي المعتد به قانوناً، مثل الحقوق والواجبات، والالتزامات، والحرية في اتخاذ القرارات، التي تمثل شأناً يتصل بمصلحته الخاصة، وفي المشاركة في المصالح العامة، وكذلك المشاركة في المجتمع المدني. ويُصطلح على تسمية هذه المواطنة "بالمواطنة الأساسية أو الفعلية"، وذلك في مقابل التمتع بالمواطنة الرسمية، وهو المصطلح الذي أصبح من المعتاد في هذا العصر أن يقتصر معناه على كون الفرد عضواً في دولة قومية</w:t>
      </w:r>
      <w:r w:rsidRPr="00DE7B9A">
        <w:rPr>
          <w:rFonts w:ascii="Calibri" w:eastAsia="Calibri" w:hAnsi="Calibri" w:cs="Simplified Arabic"/>
          <w:sz w:val="40"/>
          <w:szCs w:val="40"/>
        </w:rPr>
        <w:t>.</w:t>
      </w:r>
    </w:p>
    <w:p w:rsidR="00DE7B9A" w:rsidRPr="00DE7B9A" w:rsidRDefault="00DE7B9A" w:rsidP="00DE7B9A">
      <w:pPr>
        <w:tabs>
          <w:tab w:val="left" w:pos="84"/>
          <w:tab w:val="left" w:pos="1036"/>
        </w:tabs>
        <w:spacing w:line="240" w:lineRule="auto"/>
        <w:ind w:left="-523" w:right="-142" w:firstLine="567"/>
        <w:contextualSpacing/>
        <w:jc w:val="both"/>
        <w:rPr>
          <w:rFonts w:ascii="Calibri" w:eastAsia="Calibri" w:hAnsi="Calibri" w:cs="Simplified Arabic" w:hint="cs"/>
          <w:sz w:val="40"/>
          <w:szCs w:val="40"/>
          <w:rtl/>
        </w:rPr>
      </w:pPr>
      <w:r w:rsidRPr="00DE7B9A">
        <w:rPr>
          <w:rFonts w:ascii="Calibri" w:eastAsia="Calibri" w:hAnsi="Calibri" w:cs="Simplified Arabic"/>
          <w:sz w:val="40"/>
          <w:szCs w:val="40"/>
        </w:rPr>
        <w:br/>
      </w:r>
      <w:r w:rsidRPr="00DE7B9A">
        <w:rPr>
          <w:rFonts w:ascii="Calibri" w:eastAsia="Calibri" w:hAnsi="Calibri" w:cs="Simplified Arabic"/>
          <w:sz w:val="40"/>
          <w:szCs w:val="40"/>
          <w:rtl/>
        </w:rPr>
        <w:t>ويقتضي تمتع الفرد بالمواطنة في معناها الأول، أن يشكل هذا الفرد جزءاً من كيان سياسي اجتماعي، وأن تلك الحقوق والواجبات وغيرها من الأمور، التي من حق الفرد، أن يحوزها في صورتها الحسية الملموسة</w:t>
      </w:r>
      <w:r w:rsidRPr="00DE7B9A">
        <w:rPr>
          <w:rFonts w:ascii="Calibri" w:eastAsia="Calibri" w:hAnsi="Calibri" w:cs="Simplified Arabic"/>
          <w:sz w:val="40"/>
          <w:szCs w:val="40"/>
        </w:rPr>
        <w:t xml:space="preserve"> (</w:t>
      </w:r>
      <w:hyperlink r:id="rId5" w:tooltip="لغة إنجليزية" w:history="1">
        <w:r w:rsidRPr="00DE7B9A">
          <w:rPr>
            <w:rFonts w:ascii="Calibri" w:eastAsia="Calibri" w:hAnsi="Calibri" w:cs="Simplified Arabic"/>
            <w:sz w:val="40"/>
            <w:szCs w:val="40"/>
            <w:rtl/>
          </w:rPr>
          <w:t>بالإنجليزية</w:t>
        </w:r>
      </w:hyperlink>
      <w:r w:rsidRPr="00DE7B9A">
        <w:rPr>
          <w:rFonts w:ascii="Calibri" w:eastAsia="Calibri" w:hAnsi="Calibri" w:cs="Simplified Arabic"/>
          <w:sz w:val="40"/>
          <w:szCs w:val="40"/>
        </w:rPr>
        <w:t>: (Concrete)</w:t>
      </w:r>
      <w:r w:rsidRPr="00DE7B9A">
        <w:rPr>
          <w:rFonts w:ascii="Calibri" w:eastAsia="Calibri" w:hAnsi="Calibri" w:cs="Simplified Arabic"/>
          <w:sz w:val="40"/>
          <w:szCs w:val="40"/>
          <w:rtl/>
        </w:rPr>
        <w:t xml:space="preserve"> وكذلك في صورتها المعنوية، استناداً إلى كونه عضواً في هذا الكيان. ولا تكون صفة المواطنة إلا لمن يكون ـ طبقاً للدستور والقانون ـ له الحق في المشاركة في حكم بلاده، من خلال مؤسسات الحكم السياسية والقانونية والدستورية. أما الأفراد المقيمون على أرضٍ ويُجبرون على الانصياع للأوامر الصادرة إليهم دون أن يسهموا، بشكل ما، في إعدادها أو إصدارها، مثل الأجانب، مع إمكانية تمتعهم بالحقوق المدنية، فهذه الفئة لا يعدون مواطنين، أي أعضاء أصلاً في الجماعة السياسية يسهمون في توجيه حياتها. ويعد وعي الإنسان بأنه مواطن أصيل في بلاده وعي أصيل بالمواطنة وبأنه ليس فقط مُقيماً يخضع لنظام معين، دون أن يشارك في صنع القرارات داخل هذا النظام</w:t>
      </w:r>
      <w:r w:rsidRPr="00DE7B9A">
        <w:rPr>
          <w:rFonts w:ascii="Calibri" w:eastAsia="Calibri" w:hAnsi="Calibri" w:cs="Simplified Arabic"/>
          <w:sz w:val="40"/>
          <w:szCs w:val="40"/>
        </w:rPr>
        <w:t>.</w:t>
      </w:r>
      <w:r w:rsidRPr="00DE7B9A">
        <w:rPr>
          <w:rFonts w:ascii="Calibri" w:eastAsia="Calibri" w:hAnsi="Calibri" w:cs="Simplified Arabic"/>
          <w:sz w:val="40"/>
          <w:szCs w:val="40"/>
          <w:rtl/>
        </w:rPr>
        <w:t>يُعد هذا الوعي بالمواطنة نقطة البدء الأساسية في تشكيل نظرة الفرد إلى نفسه، وإلى بلاده، وإلى شركائه في صفة المواطنة. وعلى أساس هذه المشاركة يكون الانتماء إلى الوطن. ومن خلال المشاركة تأتي المساواة؛ فلكل مواطن الحقوق نفسها وعليه الواجبات ذاتها. فلصفة المواطن ثلاثة أركان: الانتماء للأرض، والمشاركة، والمساواة أي الندية</w:t>
      </w:r>
      <w:r w:rsidRPr="00DE7B9A">
        <w:rPr>
          <w:rFonts w:ascii="Calibri" w:eastAsia="Calibri" w:hAnsi="Calibri" w:cs="Simplified Arabic"/>
          <w:sz w:val="40"/>
          <w:szCs w:val="40"/>
        </w:rPr>
        <w:t>.</w:t>
      </w:r>
      <w:r w:rsidRPr="00DE7B9A">
        <w:rPr>
          <w:rFonts w:ascii="Calibri" w:eastAsia="Calibri" w:hAnsi="Calibri" w:cs="Simplified Arabic"/>
          <w:sz w:val="40"/>
          <w:szCs w:val="40"/>
          <w:rtl/>
        </w:rPr>
        <w:t>ومن ثم يأتي جهد الشخص في إطار الجماعة السياسية لممارسة صفة المواطنة، والتمسك بها، والدفاع عنها؛ وحينما تنجح الجماعة في استخلاص حقوق الوطن والمواطن، تظهر اللحظة الدستورية؛ فتتحول الأرض إلى وطن، والإنسان، الذي يحيا عليها ويشارك في صياغة حياتها، إلى مواطن. وعلى ذلك فالوطن هو ما يؤسس فكرة المواطن، وثم من بعدها فكرة المواطنة. فالمواطنة في حقيقته التامة ــ الجماعة الوطنية التي تستكمل التعبير عن شخصيتها وإرادتها بالدولة الواحدة المستقلة. والمواطن في حقيقته التامة هو الفرد بوصفه عضواً بالفعل في دولة وطنية. وهنا يجب التمييز بين الوطنية والمواطنة</w:t>
      </w:r>
      <w:r w:rsidRPr="00DE7B9A">
        <w:rPr>
          <w:rFonts w:ascii="Calibri" w:eastAsia="Calibri" w:hAnsi="Calibri" w:cs="Simplified Arabic"/>
          <w:sz w:val="40"/>
          <w:szCs w:val="40"/>
        </w:rPr>
        <w:t>.</w:t>
      </w:r>
      <w:r w:rsidRPr="00DE7B9A">
        <w:rPr>
          <w:rFonts w:ascii="Calibri" w:eastAsia="Calibri" w:hAnsi="Calibri" w:cs="Simplified Arabic" w:hint="cs"/>
          <w:sz w:val="40"/>
          <w:szCs w:val="40"/>
          <w:rtl/>
        </w:rPr>
        <w:t xml:space="preserve"> </w:t>
      </w:r>
      <w:r w:rsidRPr="00DE7B9A">
        <w:rPr>
          <w:rFonts w:ascii="Calibri" w:eastAsia="Calibri" w:hAnsi="Calibri" w:cs="Simplified Arabic"/>
          <w:sz w:val="40"/>
          <w:szCs w:val="40"/>
          <w:rtl/>
        </w:rPr>
        <w:t xml:space="preserve">لقد أقترن مبدأ المواطنة بحركة نضال التاريخ الإنساني من أجل العدل والمساواة والإنصاف. وكان ذلك قبل أن يستقر مصطلح المواطنة وما يقاربه من مصطلحات في الأدبيات السياسية والفكرية والتربوية، وتصاعد النضال وأخذ شكل الحركات الاجتماعية منذ قيام الحكومات الزراعية في وادي الرافدين مروراً بحضارة سومر </w:t>
      </w:r>
      <w:proofErr w:type="spellStart"/>
      <w:r w:rsidRPr="00DE7B9A">
        <w:rPr>
          <w:rFonts w:ascii="Calibri" w:eastAsia="Calibri" w:hAnsi="Calibri" w:cs="Simplified Arabic"/>
          <w:sz w:val="40"/>
          <w:szCs w:val="40"/>
          <w:rtl/>
        </w:rPr>
        <w:t>وآشور</w:t>
      </w:r>
      <w:proofErr w:type="spellEnd"/>
      <w:r w:rsidRPr="00DE7B9A">
        <w:rPr>
          <w:rFonts w:ascii="Calibri" w:eastAsia="Calibri" w:hAnsi="Calibri" w:cs="Simplified Arabic"/>
          <w:sz w:val="40"/>
          <w:szCs w:val="40"/>
          <w:rtl/>
        </w:rPr>
        <w:t xml:space="preserve"> وبابل وحضارات الصين والهند وفارس وحضارات الفينيقيين</w:t>
      </w:r>
      <w:r w:rsidRPr="00DE7B9A">
        <w:rPr>
          <w:rFonts w:ascii="Calibri" w:eastAsia="Calibri" w:hAnsi="Calibri" w:cs="Simplified Arabic" w:hint="cs"/>
          <w:sz w:val="40"/>
          <w:szCs w:val="40"/>
          <w:rtl/>
        </w:rPr>
        <w:t xml:space="preserve"> </w:t>
      </w:r>
      <w:r w:rsidRPr="00DE7B9A">
        <w:rPr>
          <w:rFonts w:ascii="Calibri" w:eastAsia="Calibri" w:hAnsi="Calibri" w:cs="Simplified Arabic"/>
          <w:sz w:val="40"/>
          <w:szCs w:val="40"/>
          <w:rtl/>
        </w:rPr>
        <w:t>والكنعانيين</w:t>
      </w:r>
      <w:r w:rsidRPr="00DE7B9A">
        <w:rPr>
          <w:rFonts w:ascii="Calibri" w:eastAsia="Calibri" w:hAnsi="Calibri" w:cs="Simplified Arabic"/>
          <w:sz w:val="40"/>
          <w:szCs w:val="40"/>
        </w:rPr>
        <w:t xml:space="preserve"> .</w:t>
      </w:r>
      <w:r w:rsidRPr="00DE7B9A">
        <w:rPr>
          <w:rFonts w:ascii="Calibri" w:eastAsia="Calibri" w:hAnsi="Calibri" w:cs="Simplified Arabic"/>
          <w:sz w:val="40"/>
          <w:szCs w:val="40"/>
          <w:rtl/>
        </w:rPr>
        <w:t xml:space="preserve">وأسهمت تلك الحضارات وما انبثق عنها من أيديولوجيات سياسية في وضع أسس للحرية والمساواة تجاوزت إرادة الحكام فاتحة بذلك آفاقاً رحبة لسعي الإنسان لتأكيد فطرته وإثبات ذاته وحق المشاركة الفعالة في اتخاذ القرارات وتحديد الخيارات الأمر الذي فتح المجال للفكر السياسي الإغريقي ومن بعده الروماني ليضع كل منهما أسس مفهومه للمواطنة والحكم الجمهوري  </w:t>
      </w:r>
      <w:r w:rsidRPr="00DE7B9A">
        <w:rPr>
          <w:rFonts w:ascii="Calibri" w:eastAsia="Calibri" w:hAnsi="Calibri" w:cs="Simplified Arabic" w:hint="cs"/>
          <w:sz w:val="40"/>
          <w:szCs w:val="40"/>
          <w:rtl/>
        </w:rPr>
        <w:t>(</w:t>
      </w:r>
      <w:r w:rsidRPr="00DE7B9A">
        <w:rPr>
          <w:rFonts w:ascii="Calibri" w:eastAsia="Calibri" w:hAnsi="Calibri" w:cs="Simplified Arabic"/>
          <w:sz w:val="40"/>
          <w:szCs w:val="40"/>
          <w:rtl/>
        </w:rPr>
        <w:t>الذي كان يعني حتى قيام الثورة الأمريكية في أواخر القرن الثامن عشر، الحكم المقيد في مقابلة الحكم المطلق وليس الحكم الجمهوري كما نفهمه اليوم ) وقد أكد كل من الفكر السياسي الإغريقي والروماني في بعض مراحلهما على ضرورة المنافسة من أجل تقلد المناصب العليا و أهمية إرساء أسس مناقشة السياسة العامة باعتبار ذلك شيئاً مطلوباً في حد ذاته</w:t>
      </w:r>
      <w:r w:rsidRPr="00DE7B9A">
        <w:rPr>
          <w:rFonts w:ascii="Calibri" w:eastAsia="Calibri" w:hAnsi="Calibri" w:cs="Simplified Arabic" w:hint="cs"/>
          <w:sz w:val="40"/>
          <w:szCs w:val="40"/>
          <w:rtl/>
        </w:rPr>
        <w:t>.</w:t>
      </w:r>
    </w:p>
    <w:p w:rsidR="00CD1D07" w:rsidRPr="00DE7B9A" w:rsidRDefault="00CD1D07">
      <w:pPr>
        <w:rPr>
          <w:sz w:val="40"/>
          <w:szCs w:val="40"/>
        </w:rPr>
      </w:pPr>
    </w:p>
    <w:sectPr w:rsidR="00CD1D07" w:rsidRPr="00DE7B9A" w:rsidSect="00AE70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9A"/>
    <w:rsid w:val="00AE706A"/>
    <w:rsid w:val="00C11155"/>
    <w:rsid w:val="00CD1D07"/>
    <w:rsid w:val="00DE7B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B9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B9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r.wikipedia.org/wiki/%D9%84%D8%BA%D8%A9_%D8%A5%D9%86%D8%AC%D9%84%D9%8A%D8%B2%D9%8A%D8%A9"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AUFOAQ</cp:lastModifiedBy>
  <cp:revision>2</cp:revision>
  <dcterms:created xsi:type="dcterms:W3CDTF">2024-08-06T12:22:00Z</dcterms:created>
  <dcterms:modified xsi:type="dcterms:W3CDTF">2024-08-06T12:24:00Z</dcterms:modified>
</cp:coreProperties>
</file>