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56E" w:rsidRPr="0040056E" w:rsidRDefault="0040056E" w:rsidP="0040056E">
      <w:pPr>
        <w:rPr>
          <w:b/>
          <w:bCs/>
        </w:rPr>
      </w:pPr>
      <w:r w:rsidRPr="0040056E">
        <w:rPr>
          <w:b/>
          <w:bCs/>
        </w:rPr>
        <w:t>Matrix Inversion: A Computational Algebra Approach</w:t>
      </w:r>
    </w:p>
    <w:p w:rsidR="0040056E" w:rsidRPr="0040056E" w:rsidRDefault="0040056E" w:rsidP="0040056E">
      <w:pPr>
        <w:rPr>
          <w:b/>
          <w:bCs/>
        </w:rPr>
      </w:pPr>
      <w:r w:rsidRPr="0040056E">
        <w:rPr>
          <w:b/>
          <w:bCs/>
        </w:rPr>
        <w:t>A standard method for computing A</w:t>
      </w:r>
      <w:r w:rsidRPr="0040056E">
        <w:rPr>
          <w:b/>
          <w:bCs/>
          <w:vertAlign w:val="superscript"/>
        </w:rPr>
        <w:t>-1</w:t>
      </w:r>
      <w:r w:rsidRPr="0040056E">
        <w:rPr>
          <w:b/>
          <w:bCs/>
        </w:rPr>
        <w:t> for an r x n matrix A is to use Gauss-Jordan row operations to reduce the n x 2n augmented matrix [A | I] to [I | C], whence A</w:t>
      </w:r>
      <w:r w:rsidRPr="0040056E">
        <w:rPr>
          <w:b/>
          <w:bCs/>
          <w:vertAlign w:val="superscript"/>
        </w:rPr>
        <w:t>-1</w:t>
      </w:r>
      <w:r w:rsidRPr="0040056E">
        <w:rPr>
          <w:b/>
          <w:bCs/>
        </w:rPr>
        <w:t> = C.</w:t>
      </w:r>
    </w:p>
    <w:p w:rsidR="0040056E" w:rsidRPr="0040056E" w:rsidRDefault="0040056E" w:rsidP="0040056E">
      <w:pPr>
        <w:rPr>
          <w:b/>
          <w:bCs/>
        </w:rPr>
      </w:pPr>
      <w:r w:rsidRPr="0040056E">
        <w:rPr>
          <w:b/>
          <w:bCs/>
        </w:rPr>
        <w:t>Instead, we propose reducing the [n by (n + 1)] augmented matrix [A | R], where R is an [n by 1] column vector of unspecified variable r. The G-J symbolic reduction of [A | R] to [I | D] yields A</w:t>
      </w:r>
      <w:r w:rsidRPr="0040056E">
        <w:rPr>
          <w:b/>
          <w:bCs/>
          <w:vertAlign w:val="superscript"/>
        </w:rPr>
        <w:t>-1</w:t>
      </w:r>
      <w:r w:rsidRPr="0040056E">
        <w:rPr>
          <w:b/>
          <w:bCs/>
        </w:rPr>
        <w:t xml:space="preserve"> as the matrix of coefficients of the </w:t>
      </w:r>
      <w:proofErr w:type="spellStart"/>
      <w:r w:rsidRPr="0040056E">
        <w:rPr>
          <w:b/>
          <w:bCs/>
        </w:rPr>
        <w:t>r</w:t>
      </w:r>
      <w:r w:rsidRPr="0040056E">
        <w:rPr>
          <w:b/>
          <w:bCs/>
          <w:vertAlign w:val="subscript"/>
        </w:rPr>
        <w:t>i</w:t>
      </w:r>
      <w:r w:rsidRPr="0040056E">
        <w:rPr>
          <w:b/>
          <w:bCs/>
        </w:rPr>
        <w:t>'s</w:t>
      </w:r>
      <w:proofErr w:type="spellEnd"/>
      <w:r w:rsidRPr="0040056E">
        <w:rPr>
          <w:b/>
          <w:bCs/>
        </w:rPr>
        <w:t xml:space="preserve"> in D.</w:t>
      </w:r>
    </w:p>
    <w:p w:rsidR="0040056E" w:rsidRPr="0040056E" w:rsidRDefault="0040056E" w:rsidP="0040056E">
      <w:pPr>
        <w:rPr>
          <w:b/>
          <w:bCs/>
        </w:rPr>
      </w:pPr>
      <w:r w:rsidRPr="0040056E">
        <w:rPr>
          <w:b/>
          <w:bCs/>
        </w:rPr>
        <w:t>It is shown that, this approach yields substantial savings in both space and computational time over approaches used in existing computer algebra systems. A computational complexity analysis of the required number of operations shows that, for large n, their proposed method saves about 25% over the conventional method [</w:t>
      </w:r>
      <w:proofErr w:type="spellStart"/>
      <w:r w:rsidRPr="0040056E">
        <w:rPr>
          <w:b/>
          <w:bCs/>
        </w:rPr>
        <w:t>Arsham</w:t>
      </w:r>
      <w:proofErr w:type="spellEnd"/>
      <w:r w:rsidRPr="0040056E">
        <w:rPr>
          <w:b/>
          <w:bCs/>
        </w:rPr>
        <w:t xml:space="preserve"> 1993]. This reduction results from starting each row of R with just one (symbolic) term, instead of the n (numerical) terms in each row of I. Clearly, this approach has pedagogical advantages of their approach. One advantage is that simultaneously the generic linear system with coefficient matrix A is solved and A</w:t>
      </w:r>
      <w:r w:rsidRPr="0040056E">
        <w:rPr>
          <w:b/>
          <w:bCs/>
          <w:vertAlign w:val="superscript"/>
        </w:rPr>
        <w:t>-1</w:t>
      </w:r>
      <w:r w:rsidRPr="0040056E">
        <w:rPr>
          <w:b/>
          <w:bCs/>
        </w:rPr>
        <w:t> is found, as discussed before.</w:t>
      </w:r>
    </w:p>
    <w:p w:rsidR="0040056E" w:rsidRPr="0040056E" w:rsidRDefault="0040056E" w:rsidP="0040056E">
      <w:pPr>
        <w:rPr>
          <w:b/>
          <w:bCs/>
        </w:rPr>
      </w:pPr>
      <w:r w:rsidRPr="0040056E">
        <w:rPr>
          <w:b/>
          <w:bCs/>
        </w:rPr>
        <w:t>Suppose we wish to find the inverse of the following matrix (if it exists):</w:t>
      </w:r>
    </w:p>
    <w:tbl>
      <w:tblPr>
        <w:tblW w:w="750" w:type="pct"/>
        <w:jc w:val="center"/>
        <w:tblCellSpacing w:w="15" w:type="dxa"/>
        <w:tblCellMar>
          <w:top w:w="15" w:type="dxa"/>
          <w:left w:w="15" w:type="dxa"/>
          <w:bottom w:w="15" w:type="dxa"/>
          <w:right w:w="15" w:type="dxa"/>
        </w:tblCellMar>
        <w:tblLook w:val="04A0" w:firstRow="1" w:lastRow="0" w:firstColumn="1" w:lastColumn="0" w:noHBand="0" w:noVBand="1"/>
      </w:tblPr>
      <w:tblGrid>
        <w:gridCol w:w="333"/>
        <w:gridCol w:w="275"/>
        <w:gridCol w:w="279"/>
        <w:gridCol w:w="467"/>
      </w:tblGrid>
      <w:tr w:rsidR="0040056E" w:rsidRPr="0040056E" w:rsidTr="0040056E">
        <w:trPr>
          <w:tblCellSpacing w:w="15" w:type="dxa"/>
          <w:jc w:val="center"/>
        </w:trPr>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bottom"/>
            <w:hideMark/>
          </w:tcPr>
          <w:p w:rsidR="0040056E" w:rsidRPr="0040056E" w:rsidRDefault="0040056E" w:rsidP="0040056E">
            <w:pPr>
              <w:rPr>
                <w:b/>
                <w:bCs/>
              </w:rPr>
            </w:pPr>
            <w:r w:rsidRPr="0040056E">
              <w:rPr>
                <w:b/>
                <w:bCs/>
              </w:rPr>
              <w:t>2</w:t>
            </w:r>
          </w:p>
        </w:tc>
        <w:tc>
          <w:tcPr>
            <w:tcW w:w="0" w:type="auto"/>
            <w:vAlign w:val="bottom"/>
            <w:hideMark/>
          </w:tcPr>
          <w:p w:rsidR="0040056E" w:rsidRPr="0040056E" w:rsidRDefault="0040056E" w:rsidP="0040056E">
            <w:pPr>
              <w:rPr>
                <w:b/>
                <w:bCs/>
              </w:rPr>
            </w:pPr>
            <w:r w:rsidRPr="0040056E">
              <w:rPr>
                <w:b/>
                <w:bCs/>
              </w:rPr>
              <w:t>  1</w:t>
            </w: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r w:rsidRPr="0040056E">
              <w:rPr>
                <w:b/>
                <w:bCs/>
              </w:rPr>
              <w:t>A</w:t>
            </w:r>
          </w:p>
        </w:tc>
        <w:tc>
          <w:tcPr>
            <w:tcW w:w="0" w:type="auto"/>
            <w:vAlign w:val="center"/>
            <w:hideMark/>
          </w:tcPr>
          <w:p w:rsidR="0040056E" w:rsidRPr="0040056E" w:rsidRDefault="0040056E" w:rsidP="0040056E">
            <w:pPr>
              <w:rPr>
                <w:b/>
                <w:bCs/>
              </w:rPr>
            </w:pPr>
            <w:r w:rsidRPr="0040056E">
              <w:rPr>
                <w:b/>
                <w:bCs/>
              </w:rPr>
              <w:t>=</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hideMark/>
          </w:tcPr>
          <w:p w:rsidR="0040056E" w:rsidRPr="0040056E" w:rsidRDefault="0040056E" w:rsidP="0040056E">
            <w:pPr>
              <w:rPr>
                <w:b/>
                <w:bCs/>
              </w:rPr>
            </w:pPr>
            <w:r w:rsidRPr="0040056E">
              <w:rPr>
                <w:b/>
                <w:bCs/>
              </w:rPr>
              <w:t>1</w:t>
            </w:r>
          </w:p>
        </w:tc>
        <w:tc>
          <w:tcPr>
            <w:tcW w:w="0" w:type="auto"/>
            <w:hideMark/>
          </w:tcPr>
          <w:p w:rsidR="0040056E" w:rsidRPr="0040056E" w:rsidRDefault="0040056E" w:rsidP="0040056E">
            <w:pPr>
              <w:rPr>
                <w:b/>
                <w:bCs/>
              </w:rPr>
            </w:pPr>
            <w:r w:rsidRPr="0040056E">
              <w:rPr>
                <w:b/>
                <w:bCs/>
              </w:rPr>
              <w:t>-1</w:t>
            </w:r>
          </w:p>
        </w:tc>
      </w:tr>
    </w:tbl>
    <w:p w:rsidR="0040056E" w:rsidRPr="0040056E" w:rsidRDefault="0040056E" w:rsidP="0040056E">
      <w:pPr>
        <w:rPr>
          <w:b/>
          <w:bCs/>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7"/>
        <w:gridCol w:w="66"/>
        <w:gridCol w:w="66"/>
        <w:gridCol w:w="239"/>
        <w:gridCol w:w="66"/>
        <w:gridCol w:w="66"/>
        <w:gridCol w:w="66"/>
        <w:gridCol w:w="66"/>
        <w:gridCol w:w="225"/>
      </w:tblGrid>
      <w:tr w:rsidR="0040056E" w:rsidRPr="0040056E" w:rsidTr="0040056E">
        <w:trPr>
          <w:gridAfter w:val="8"/>
          <w:tblCellSpacing w:w="15" w:type="dxa"/>
          <w:jc w:val="center"/>
        </w:trPr>
        <w:tc>
          <w:tcPr>
            <w:tcW w:w="0" w:type="auto"/>
            <w:vAlign w:val="center"/>
            <w:hideMark/>
          </w:tcPr>
          <w:p w:rsidR="0040056E" w:rsidRPr="0040056E" w:rsidRDefault="0040056E" w:rsidP="0040056E">
            <w:pPr>
              <w:rPr>
                <w:b/>
                <w:bCs/>
              </w:rPr>
            </w:pP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r w:rsidRPr="0040056E">
              <w:rPr>
                <w:b/>
                <w:bCs/>
              </w:rPr>
              <w:t>2</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r w:rsidRPr="0040056E">
              <w:rPr>
                <w:b/>
                <w:bCs/>
              </w:rPr>
              <w:t>1</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r w:rsidRPr="0040056E">
              <w:rPr>
                <w:b/>
                <w:bCs/>
              </w:rPr>
              <w:t>r</w:t>
            </w:r>
            <w:r w:rsidRPr="0040056E">
              <w:rPr>
                <w:b/>
                <w:bCs/>
                <w:vertAlign w:val="subscript"/>
              </w:rPr>
              <w:t>1</w:t>
            </w: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r w:rsidRPr="0040056E">
              <w:rPr>
                <w:b/>
                <w:bCs/>
              </w:rPr>
              <w:t>1</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r w:rsidRPr="0040056E">
              <w:rPr>
                <w:b/>
                <w:bCs/>
              </w:rPr>
              <w:t>-1</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r w:rsidRPr="0040056E">
              <w:rPr>
                <w:b/>
                <w:bCs/>
              </w:rPr>
              <w:t>r</w:t>
            </w:r>
            <w:r w:rsidRPr="0040056E">
              <w:rPr>
                <w:b/>
                <w:bCs/>
                <w:vertAlign w:val="subscript"/>
              </w:rPr>
              <w:t>2</w:t>
            </w:r>
          </w:p>
        </w:tc>
      </w:tr>
    </w:tbl>
    <w:p w:rsidR="0040056E" w:rsidRPr="0040056E" w:rsidRDefault="0040056E" w:rsidP="0040056E">
      <w:pPr>
        <w:rPr>
          <w:b/>
          <w:bCs/>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7"/>
        <w:gridCol w:w="445"/>
        <w:gridCol w:w="66"/>
        <w:gridCol w:w="66"/>
        <w:gridCol w:w="956"/>
      </w:tblGrid>
      <w:tr w:rsidR="0040056E" w:rsidRPr="0040056E" w:rsidTr="0040056E">
        <w:trPr>
          <w:gridAfter w:val="4"/>
          <w:tblCellSpacing w:w="15" w:type="dxa"/>
          <w:jc w:val="center"/>
        </w:trPr>
        <w:tc>
          <w:tcPr>
            <w:tcW w:w="0" w:type="auto"/>
            <w:vAlign w:val="center"/>
            <w:hideMark/>
          </w:tcPr>
          <w:p w:rsidR="0040056E" w:rsidRPr="0040056E" w:rsidRDefault="0040056E" w:rsidP="0040056E">
            <w:pPr>
              <w:rPr>
                <w:b/>
                <w:bCs/>
              </w:rPr>
            </w:pP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r w:rsidRPr="0040056E">
              <w:rPr>
                <w:b/>
                <w:bCs/>
              </w:rPr>
              <w:t>1</w:t>
            </w:r>
          </w:p>
        </w:tc>
        <w:tc>
          <w:tcPr>
            <w:tcW w:w="0" w:type="auto"/>
            <w:vAlign w:val="center"/>
            <w:hideMark/>
          </w:tcPr>
          <w:p w:rsidR="0040056E" w:rsidRPr="0040056E" w:rsidRDefault="0040056E" w:rsidP="0040056E">
            <w:pPr>
              <w:rPr>
                <w:b/>
                <w:bCs/>
              </w:rPr>
            </w:pPr>
            <w:r w:rsidRPr="0040056E">
              <w:rPr>
                <w:b/>
                <w:bCs/>
              </w:rPr>
              <w:t>1/2</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r w:rsidRPr="0040056E">
              <w:rPr>
                <w:b/>
                <w:bCs/>
              </w:rPr>
              <w:t>r</w:t>
            </w:r>
            <w:r w:rsidRPr="0040056E">
              <w:rPr>
                <w:b/>
                <w:bCs/>
                <w:vertAlign w:val="subscript"/>
              </w:rPr>
              <w:t>1</w:t>
            </w:r>
            <w:r w:rsidRPr="0040056E">
              <w:rPr>
                <w:b/>
                <w:bCs/>
              </w:rPr>
              <w:t> / 2</w:t>
            </w: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r w:rsidRPr="0040056E">
              <w:rPr>
                <w:b/>
                <w:bCs/>
              </w:rPr>
              <w:t>0</w:t>
            </w:r>
          </w:p>
        </w:tc>
        <w:tc>
          <w:tcPr>
            <w:tcW w:w="0" w:type="auto"/>
            <w:vAlign w:val="center"/>
            <w:hideMark/>
          </w:tcPr>
          <w:p w:rsidR="0040056E" w:rsidRPr="0040056E" w:rsidRDefault="0040056E" w:rsidP="0040056E">
            <w:pPr>
              <w:rPr>
                <w:b/>
                <w:bCs/>
              </w:rPr>
            </w:pPr>
            <w:r w:rsidRPr="0040056E">
              <w:rPr>
                <w:b/>
                <w:bCs/>
              </w:rPr>
              <w:t>-3/2</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r w:rsidRPr="0040056E">
              <w:rPr>
                <w:b/>
                <w:bCs/>
              </w:rPr>
              <w:t>-r</w:t>
            </w:r>
            <w:r w:rsidRPr="0040056E">
              <w:rPr>
                <w:b/>
                <w:bCs/>
                <w:vertAlign w:val="subscript"/>
              </w:rPr>
              <w:t>1</w:t>
            </w:r>
            <w:r w:rsidRPr="0040056E">
              <w:rPr>
                <w:b/>
                <w:bCs/>
              </w:rPr>
              <w:t> / 2 + r</w:t>
            </w:r>
            <w:r w:rsidRPr="0040056E">
              <w:rPr>
                <w:b/>
                <w:bCs/>
                <w:vertAlign w:val="subscript"/>
              </w:rPr>
              <w:t>2</w:t>
            </w:r>
          </w:p>
        </w:tc>
      </w:tr>
    </w:tbl>
    <w:p w:rsidR="0040056E" w:rsidRPr="0040056E" w:rsidRDefault="0040056E" w:rsidP="0040056E">
      <w:pPr>
        <w:rPr>
          <w:b/>
          <w:bCs/>
          <w:vanish/>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87"/>
        <w:gridCol w:w="66"/>
        <w:gridCol w:w="66"/>
        <w:gridCol w:w="172"/>
        <w:gridCol w:w="66"/>
        <w:gridCol w:w="66"/>
        <w:gridCol w:w="66"/>
        <w:gridCol w:w="66"/>
        <w:gridCol w:w="1263"/>
      </w:tblGrid>
      <w:tr w:rsidR="0040056E" w:rsidRPr="0040056E" w:rsidTr="0040056E">
        <w:trPr>
          <w:gridAfter w:val="8"/>
          <w:tblCellSpacing w:w="15" w:type="dxa"/>
          <w:jc w:val="center"/>
        </w:trPr>
        <w:tc>
          <w:tcPr>
            <w:tcW w:w="0" w:type="auto"/>
            <w:vAlign w:val="center"/>
            <w:hideMark/>
          </w:tcPr>
          <w:p w:rsidR="0040056E" w:rsidRPr="0040056E" w:rsidRDefault="0040056E" w:rsidP="0040056E">
            <w:pPr>
              <w:rPr>
                <w:b/>
                <w:bCs/>
              </w:rPr>
            </w:pP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r w:rsidRPr="0040056E">
              <w:rPr>
                <w:b/>
                <w:bCs/>
              </w:rPr>
              <w:t>1</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r w:rsidRPr="0040056E">
              <w:rPr>
                <w:b/>
                <w:bCs/>
              </w:rPr>
              <w:t>0</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r w:rsidRPr="0040056E">
              <w:rPr>
                <w:b/>
                <w:bCs/>
              </w:rPr>
              <w:t>r</w:t>
            </w:r>
            <w:r w:rsidRPr="0040056E">
              <w:rPr>
                <w:b/>
                <w:bCs/>
                <w:vertAlign w:val="subscript"/>
              </w:rPr>
              <w:t>1</w:t>
            </w:r>
            <w:r w:rsidRPr="0040056E">
              <w:rPr>
                <w:b/>
                <w:bCs/>
              </w:rPr>
              <w:t> / 3 + r</w:t>
            </w:r>
            <w:r w:rsidRPr="0040056E">
              <w:rPr>
                <w:b/>
                <w:bCs/>
                <w:vertAlign w:val="subscript"/>
              </w:rPr>
              <w:t>2</w:t>
            </w:r>
            <w:r w:rsidRPr="0040056E">
              <w:rPr>
                <w:b/>
                <w:bCs/>
              </w:rPr>
              <w:t> / 3</w:t>
            </w: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r w:rsidRPr="0040056E">
              <w:rPr>
                <w:b/>
                <w:bCs/>
              </w:rPr>
              <w:t>0</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r w:rsidRPr="0040056E">
              <w:rPr>
                <w:b/>
                <w:bCs/>
              </w:rPr>
              <w:t>1</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r w:rsidRPr="0040056E">
              <w:rPr>
                <w:b/>
                <w:bCs/>
              </w:rPr>
              <w:t>r</w:t>
            </w:r>
            <w:r w:rsidRPr="0040056E">
              <w:rPr>
                <w:b/>
                <w:bCs/>
                <w:vertAlign w:val="subscript"/>
              </w:rPr>
              <w:t>1</w:t>
            </w:r>
            <w:r w:rsidRPr="0040056E">
              <w:rPr>
                <w:b/>
                <w:bCs/>
              </w:rPr>
              <w:t> / 3 - 2r</w:t>
            </w:r>
            <w:r w:rsidRPr="0040056E">
              <w:rPr>
                <w:b/>
                <w:bCs/>
                <w:vertAlign w:val="subscript"/>
              </w:rPr>
              <w:t>2</w:t>
            </w:r>
            <w:r w:rsidRPr="0040056E">
              <w:rPr>
                <w:b/>
                <w:bCs/>
              </w:rPr>
              <w:t> / 3</w:t>
            </w:r>
          </w:p>
        </w:tc>
      </w:tr>
    </w:tbl>
    <w:p w:rsidR="0040056E" w:rsidRPr="0040056E" w:rsidRDefault="0040056E" w:rsidP="0040056E">
      <w:pPr>
        <w:rPr>
          <w:b/>
          <w:bCs/>
        </w:rPr>
      </w:pPr>
      <w:proofErr w:type="gramStart"/>
      <w:r w:rsidRPr="0040056E">
        <w:rPr>
          <w:b/>
          <w:bCs/>
        </w:rPr>
        <w:t>Therefore</w:t>
      </w:r>
      <w:proofErr w:type="gramEnd"/>
      <w:r w:rsidRPr="0040056E">
        <w:rPr>
          <w:b/>
          <w:bCs/>
        </w:rPr>
        <w:t xml:space="preserve"> the inverse matrix is:</w:t>
      </w:r>
    </w:p>
    <w:tbl>
      <w:tblPr>
        <w:tblW w:w="1050" w:type="pct"/>
        <w:jc w:val="center"/>
        <w:tblCellSpacing w:w="15" w:type="dxa"/>
        <w:tblCellMar>
          <w:top w:w="15" w:type="dxa"/>
          <w:left w:w="15" w:type="dxa"/>
          <w:bottom w:w="15" w:type="dxa"/>
          <w:right w:w="15" w:type="dxa"/>
        </w:tblCellMar>
        <w:tblLook w:val="04A0" w:firstRow="1" w:lastRow="0" w:firstColumn="1" w:lastColumn="0" w:noHBand="0" w:noVBand="1"/>
      </w:tblPr>
      <w:tblGrid>
        <w:gridCol w:w="389"/>
        <w:gridCol w:w="203"/>
        <w:gridCol w:w="460"/>
        <w:gridCol w:w="843"/>
      </w:tblGrid>
      <w:tr w:rsidR="0040056E" w:rsidRPr="0040056E" w:rsidTr="0040056E">
        <w:trPr>
          <w:tblCellSpacing w:w="15" w:type="dxa"/>
          <w:jc w:val="center"/>
        </w:trPr>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bottom"/>
            <w:hideMark/>
          </w:tcPr>
          <w:p w:rsidR="0040056E" w:rsidRPr="0040056E" w:rsidRDefault="0040056E" w:rsidP="0040056E">
            <w:pPr>
              <w:rPr>
                <w:b/>
                <w:bCs/>
              </w:rPr>
            </w:pPr>
            <w:r w:rsidRPr="0040056E">
              <w:rPr>
                <w:b/>
                <w:bCs/>
              </w:rPr>
              <w:t>1/3</w:t>
            </w:r>
          </w:p>
        </w:tc>
        <w:tc>
          <w:tcPr>
            <w:tcW w:w="0" w:type="auto"/>
            <w:vAlign w:val="bottom"/>
            <w:hideMark/>
          </w:tcPr>
          <w:p w:rsidR="0040056E" w:rsidRPr="0040056E" w:rsidRDefault="0040056E" w:rsidP="0040056E">
            <w:pPr>
              <w:rPr>
                <w:b/>
                <w:bCs/>
              </w:rPr>
            </w:pPr>
            <w:r w:rsidRPr="0040056E">
              <w:rPr>
                <w:b/>
                <w:bCs/>
              </w:rPr>
              <w:t>      1/3</w:t>
            </w: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r w:rsidRPr="0040056E">
              <w:rPr>
                <w:b/>
                <w:bCs/>
              </w:rPr>
              <w:t>A</w:t>
            </w:r>
            <w:r w:rsidRPr="0040056E">
              <w:rPr>
                <w:b/>
                <w:bCs/>
                <w:vertAlign w:val="superscript"/>
              </w:rPr>
              <w:t>-1</w:t>
            </w:r>
          </w:p>
        </w:tc>
        <w:tc>
          <w:tcPr>
            <w:tcW w:w="0" w:type="auto"/>
            <w:vAlign w:val="center"/>
            <w:hideMark/>
          </w:tcPr>
          <w:p w:rsidR="0040056E" w:rsidRPr="0040056E" w:rsidRDefault="0040056E" w:rsidP="0040056E">
            <w:pPr>
              <w:rPr>
                <w:b/>
                <w:bCs/>
              </w:rPr>
            </w:pPr>
            <w:r w:rsidRPr="0040056E">
              <w:rPr>
                <w:b/>
                <w:bCs/>
              </w:rPr>
              <w:t>=</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hideMark/>
          </w:tcPr>
          <w:p w:rsidR="0040056E" w:rsidRPr="0040056E" w:rsidRDefault="0040056E" w:rsidP="0040056E">
            <w:pPr>
              <w:rPr>
                <w:b/>
                <w:bCs/>
              </w:rPr>
            </w:pPr>
            <w:r w:rsidRPr="0040056E">
              <w:rPr>
                <w:b/>
                <w:bCs/>
              </w:rPr>
              <w:t>1/3</w:t>
            </w:r>
          </w:p>
        </w:tc>
        <w:tc>
          <w:tcPr>
            <w:tcW w:w="0" w:type="auto"/>
            <w:hideMark/>
          </w:tcPr>
          <w:p w:rsidR="0040056E" w:rsidRPr="0040056E" w:rsidRDefault="0040056E" w:rsidP="0040056E">
            <w:pPr>
              <w:rPr>
                <w:b/>
                <w:bCs/>
              </w:rPr>
            </w:pPr>
            <w:r w:rsidRPr="0040056E">
              <w:rPr>
                <w:b/>
                <w:bCs/>
              </w:rPr>
              <w:t>-2/3</w:t>
            </w:r>
          </w:p>
        </w:tc>
      </w:tr>
    </w:tbl>
    <w:p w:rsidR="0040056E" w:rsidRPr="0040056E" w:rsidRDefault="0040056E" w:rsidP="0040056E">
      <w:pPr>
        <w:rPr>
          <w:b/>
          <w:bCs/>
        </w:rPr>
      </w:pPr>
      <w:r w:rsidRPr="0040056E">
        <w:rPr>
          <w:b/>
          <w:bCs/>
        </w:rPr>
        <w:t>Notice: A matrix possessing an inverse is called </w:t>
      </w:r>
      <w:proofErr w:type="spellStart"/>
      <w:r w:rsidRPr="0040056E">
        <w:rPr>
          <w:b/>
          <w:bCs/>
        </w:rPr>
        <w:t>nonsingular</w:t>
      </w:r>
      <w:proofErr w:type="spellEnd"/>
      <w:r w:rsidRPr="0040056E">
        <w:rPr>
          <w:b/>
          <w:bCs/>
        </w:rPr>
        <w:t>, or invertible. A matrix is called singular if it does not have an inverse. For example, the following matrix is a singular one:</w:t>
      </w:r>
    </w:p>
    <w:p w:rsidR="0040056E" w:rsidRPr="0040056E" w:rsidRDefault="0040056E" w:rsidP="0040056E">
      <w:pPr>
        <w:rPr>
          <w:b/>
          <w:bCs/>
        </w:rPr>
      </w:pPr>
      <w:r w:rsidRPr="0040056E">
        <w:rPr>
          <w:b/>
          <w:bCs/>
        </w:rPr>
        <w:t> 1    6    4</w:t>
      </w:r>
      <w:r w:rsidRPr="0040056E">
        <w:rPr>
          <w:b/>
          <w:bCs/>
        </w:rPr>
        <w:br/>
        <w:t> 2    4   -1</w:t>
      </w:r>
      <w:r w:rsidRPr="0040056E">
        <w:rPr>
          <w:b/>
          <w:bCs/>
        </w:rPr>
        <w:br/>
        <w:t>-1    2    5</w:t>
      </w:r>
    </w:p>
    <w:p w:rsidR="0040056E" w:rsidRPr="0040056E" w:rsidRDefault="0040056E" w:rsidP="0040056E">
      <w:pPr>
        <w:rPr>
          <w:b/>
          <w:bCs/>
        </w:rPr>
      </w:pPr>
      <w:r w:rsidRPr="0040056E">
        <w:rPr>
          <w:b/>
          <w:bCs/>
        </w:rPr>
        <w:lastRenderedPageBreak/>
        <w:t>Therefore, in applying the above procedure for inverting a matrix, if the matrix is a singular one, then at least one row will have All Zero Elements during the G-J operations.</w:t>
      </w:r>
    </w:p>
    <w:p w:rsidR="0040056E" w:rsidRPr="0040056E" w:rsidRDefault="0040056E" w:rsidP="0040056E">
      <w:pPr>
        <w:rPr>
          <w:b/>
          <w:bCs/>
        </w:rPr>
      </w:pPr>
      <w:r w:rsidRPr="0040056E">
        <w:rPr>
          <w:b/>
          <w:bCs/>
        </w:rPr>
        <w:drawing>
          <wp:inline distT="0" distB="0" distL="0" distR="0">
            <wp:extent cx="4762500" cy="19050"/>
            <wp:effectExtent l="0" t="0" r="0" b="0"/>
            <wp:docPr id="12" name="Picture 12" descr="https://home.ubalt.edu/ntsbarsh/Business-stat/opre/se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home.ubalt.edu/ntsbarsh/Business-stat/opre/sep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19050"/>
                    </a:xfrm>
                    <a:prstGeom prst="rect">
                      <a:avLst/>
                    </a:prstGeom>
                    <a:noFill/>
                    <a:ln>
                      <a:noFill/>
                    </a:ln>
                  </pic:spPr>
                </pic:pic>
              </a:graphicData>
            </a:graphic>
          </wp:inline>
        </w:drawing>
      </w:r>
    </w:p>
    <w:p w:rsidR="0040056E" w:rsidRPr="0040056E" w:rsidRDefault="0040056E" w:rsidP="0040056E">
      <w:pPr>
        <w:rPr>
          <w:b/>
          <w:bCs/>
        </w:rPr>
      </w:pPr>
      <w:bookmarkStart w:id="0" w:name="ronlinesolvers"/>
      <w:bookmarkEnd w:id="0"/>
      <w:r w:rsidRPr="0040056E">
        <w:rPr>
          <w:b/>
          <w:bCs/>
        </w:rPr>
        <w:t>Learning Objects: Online Interactive Solvers</w:t>
      </w:r>
    </w:p>
    <w:p w:rsidR="0040056E" w:rsidRPr="0040056E" w:rsidRDefault="0040056E" w:rsidP="0040056E">
      <w:pPr>
        <w:rPr>
          <w:b/>
          <w:bCs/>
        </w:rPr>
      </w:pPr>
      <w:r w:rsidRPr="0040056E">
        <w:rPr>
          <w:b/>
          <w:bCs/>
        </w:rPr>
        <w:t>Computer Assisted Learning: I do recommend the following online interactive solvers sites to understand the concepts presented on this site by performing some numerical experimentation:</w:t>
      </w:r>
    </w:p>
    <w:p w:rsidR="0040056E" w:rsidRPr="0040056E" w:rsidRDefault="0040056E" w:rsidP="0040056E">
      <w:pPr>
        <w:rPr>
          <w:b/>
          <w:bCs/>
        </w:rPr>
      </w:pPr>
      <w:hyperlink r:id="rId5" w:tgtFrame="new" w:history="1">
        <w:r w:rsidRPr="0040056E">
          <w:rPr>
            <w:rStyle w:val="Hyperlink"/>
            <w:b/>
            <w:bCs/>
          </w:rPr>
          <w:t>System of Equations and Matrix Inversion</w:t>
        </w:r>
      </w:hyperlink>
      <w:r w:rsidRPr="0040056E">
        <w:rPr>
          <w:b/>
          <w:bCs/>
        </w:rPr>
        <w:t>.</w:t>
      </w:r>
      <w:r w:rsidRPr="0040056E">
        <w:rPr>
          <w:b/>
          <w:bCs/>
        </w:rPr>
        <w:br/>
      </w:r>
      <w:hyperlink r:id="rId6" w:tgtFrame="new" w:history="1">
        <w:r w:rsidRPr="0040056E">
          <w:rPr>
            <w:rStyle w:val="Hyperlink"/>
            <w:b/>
            <w:bCs/>
          </w:rPr>
          <w:t>Linear Optimization</w:t>
        </w:r>
      </w:hyperlink>
      <w:r w:rsidRPr="0040056E">
        <w:rPr>
          <w:b/>
          <w:bCs/>
        </w:rPr>
        <w:t>.</w:t>
      </w:r>
    </w:p>
    <w:p w:rsidR="0040056E" w:rsidRPr="0040056E" w:rsidRDefault="0040056E" w:rsidP="0040056E">
      <w:pPr>
        <w:rPr>
          <w:b/>
          <w:bCs/>
        </w:rPr>
      </w:pPr>
      <w:r w:rsidRPr="0040056E">
        <w:rPr>
          <w:b/>
          <w:bCs/>
        </w:rPr>
        <w:drawing>
          <wp:inline distT="0" distB="0" distL="0" distR="0">
            <wp:extent cx="4762500" cy="19050"/>
            <wp:effectExtent l="0" t="0" r="0" b="0"/>
            <wp:docPr id="11" name="Picture 11" descr="https://home.ubalt.edu/ntsbarsh/Business-stat/opre/se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ome.ubalt.edu/ntsbarsh/Business-stat/opre/sep1.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19050"/>
                    </a:xfrm>
                    <a:prstGeom prst="rect">
                      <a:avLst/>
                    </a:prstGeom>
                    <a:noFill/>
                    <a:ln>
                      <a:noFill/>
                    </a:ln>
                  </pic:spPr>
                </pic:pic>
              </a:graphicData>
            </a:graphic>
          </wp:inline>
        </w:drawing>
      </w:r>
    </w:p>
    <w:p w:rsidR="0040056E" w:rsidRPr="0040056E" w:rsidRDefault="0040056E" w:rsidP="0040056E">
      <w:pPr>
        <w:rPr>
          <w:b/>
          <w:bCs/>
        </w:rPr>
      </w:pPr>
      <w:bookmarkStart w:id="1" w:name="rstability"/>
      <w:bookmarkEnd w:id="1"/>
      <w:r w:rsidRPr="0040056E">
        <w:rPr>
          <w:b/>
          <w:bCs/>
        </w:rPr>
        <w:t>Rounding Errors and Stability Analysis</w:t>
      </w:r>
    </w:p>
    <w:p w:rsidR="0040056E" w:rsidRPr="0040056E" w:rsidRDefault="0040056E" w:rsidP="0040056E">
      <w:pPr>
        <w:rPr>
          <w:b/>
          <w:bCs/>
        </w:rPr>
      </w:pPr>
      <w:r w:rsidRPr="0040056E">
        <w:rPr>
          <w:b/>
          <w:bCs/>
        </w:rPr>
        <w:t>Rounding errors is due to the hardware limitation of any computer package. Therefore, one must be concerned about the stability analysis of the solution with respect to the input parameters. Following are three numerical examples for Linear programming, matrix inversion, and solving system of linear equations, respectively:</w:t>
      </w:r>
    </w:p>
    <w:p w:rsidR="0040056E" w:rsidRPr="0040056E" w:rsidRDefault="0040056E" w:rsidP="0040056E">
      <w:pPr>
        <w:rPr>
          <w:b/>
          <w:bCs/>
        </w:rPr>
      </w:pPr>
      <w:r w:rsidRPr="0040056E">
        <w:rPr>
          <w:b/>
          <w:bCs/>
        </w:rPr>
        <w:t>Linear Programming: Consider the following problem:</w:t>
      </w:r>
    </w:p>
    <w:p w:rsidR="0040056E" w:rsidRPr="0040056E" w:rsidRDefault="0040056E" w:rsidP="0040056E">
      <w:pPr>
        <w:rPr>
          <w:b/>
          <w:bCs/>
        </w:rPr>
      </w:pPr>
      <w:r w:rsidRPr="0040056E">
        <w:rPr>
          <w:b/>
          <w:bCs/>
        </w:rPr>
        <w:t>Max 6X1 + 4X2</w:t>
      </w:r>
      <w:r w:rsidRPr="0040056E">
        <w:rPr>
          <w:b/>
          <w:bCs/>
        </w:rPr>
        <w:br/>
        <w:t>subject to:</w:t>
      </w:r>
      <w:r w:rsidRPr="0040056E">
        <w:rPr>
          <w:b/>
          <w:bCs/>
        </w:rPr>
        <w:br/>
        <w:t>3.01X1 + 2X2 £ 24</w:t>
      </w:r>
      <w:r w:rsidRPr="0040056E">
        <w:rPr>
          <w:b/>
          <w:bCs/>
        </w:rPr>
        <w:br/>
        <w:t>X1 + 2X2 £ 16 all decision variables ³ 0.</w:t>
      </w:r>
    </w:p>
    <w:p w:rsidR="0040056E" w:rsidRPr="0040056E" w:rsidRDefault="0040056E" w:rsidP="0040056E">
      <w:pPr>
        <w:rPr>
          <w:b/>
          <w:bCs/>
        </w:rPr>
      </w:pPr>
      <w:r w:rsidRPr="0040056E">
        <w:rPr>
          <w:b/>
          <w:bCs/>
        </w:rPr>
        <w:t>The optimal solution is (X1 = 3.9801, X2 = 6.0100). However, the optimal solution for the same problem but with a slight change in the constraints' coefficients matrix one may get a completely different optimal solution. For example, if we change 3.01 to 2.99, then the optimal solution is (X1 = 8.0268, X2 = 0). That is, decreasing the one element of the technology-matrix by 0.66%, the solution changes drastically! Therefore, the optimal solution is unstable with respect to this input parameter.</w:t>
      </w:r>
    </w:p>
    <w:p w:rsidR="0040056E" w:rsidRPr="0040056E" w:rsidRDefault="0040056E" w:rsidP="0040056E">
      <w:pPr>
        <w:rPr>
          <w:b/>
          <w:bCs/>
        </w:rPr>
      </w:pPr>
      <w:r w:rsidRPr="0040056E">
        <w:rPr>
          <w:b/>
          <w:bCs/>
        </w:rPr>
        <w:t>Matrix Inversion: Consider the following matrix:</w:t>
      </w:r>
    </w:p>
    <w:tbl>
      <w:tblPr>
        <w:tblW w:w="750" w:type="pct"/>
        <w:jc w:val="center"/>
        <w:tblCellSpacing w:w="15" w:type="dxa"/>
        <w:tblCellMar>
          <w:top w:w="15" w:type="dxa"/>
          <w:left w:w="15" w:type="dxa"/>
          <w:bottom w:w="15" w:type="dxa"/>
          <w:right w:w="15" w:type="dxa"/>
        </w:tblCellMar>
        <w:tblLook w:val="04A0" w:firstRow="1" w:lastRow="0" w:firstColumn="1" w:lastColumn="0" w:noHBand="0" w:noVBand="1"/>
      </w:tblPr>
      <w:tblGrid>
        <w:gridCol w:w="209"/>
        <w:gridCol w:w="170"/>
        <w:gridCol w:w="677"/>
        <w:gridCol w:w="692"/>
      </w:tblGrid>
      <w:tr w:rsidR="0040056E" w:rsidRPr="0040056E" w:rsidTr="0040056E">
        <w:trPr>
          <w:tblCellSpacing w:w="15" w:type="dxa"/>
          <w:jc w:val="center"/>
        </w:trPr>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bottom"/>
            <w:hideMark/>
          </w:tcPr>
          <w:p w:rsidR="0040056E" w:rsidRPr="0040056E" w:rsidRDefault="0040056E" w:rsidP="0040056E">
            <w:pPr>
              <w:rPr>
                <w:b/>
                <w:bCs/>
              </w:rPr>
            </w:pPr>
            <w:r w:rsidRPr="0040056E">
              <w:rPr>
                <w:b/>
                <w:bCs/>
              </w:rPr>
              <w:t>1.9998</w:t>
            </w:r>
          </w:p>
        </w:tc>
        <w:tc>
          <w:tcPr>
            <w:tcW w:w="0" w:type="auto"/>
            <w:vAlign w:val="bottom"/>
            <w:hideMark/>
          </w:tcPr>
          <w:p w:rsidR="0040056E" w:rsidRPr="0040056E" w:rsidRDefault="0040056E" w:rsidP="0040056E">
            <w:pPr>
              <w:rPr>
                <w:b/>
                <w:bCs/>
              </w:rPr>
            </w:pPr>
            <w:r w:rsidRPr="0040056E">
              <w:rPr>
                <w:b/>
                <w:bCs/>
              </w:rPr>
              <w:t>0.9999</w:t>
            </w: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r w:rsidRPr="0040056E">
              <w:rPr>
                <w:b/>
                <w:bCs/>
              </w:rPr>
              <w:t>A</w:t>
            </w:r>
          </w:p>
        </w:tc>
        <w:tc>
          <w:tcPr>
            <w:tcW w:w="0" w:type="auto"/>
            <w:vAlign w:val="center"/>
            <w:hideMark/>
          </w:tcPr>
          <w:p w:rsidR="0040056E" w:rsidRPr="0040056E" w:rsidRDefault="0040056E" w:rsidP="0040056E">
            <w:pPr>
              <w:rPr>
                <w:b/>
                <w:bCs/>
              </w:rPr>
            </w:pPr>
            <w:r w:rsidRPr="0040056E">
              <w:rPr>
                <w:b/>
                <w:bCs/>
              </w:rPr>
              <w:t>=</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hideMark/>
          </w:tcPr>
          <w:p w:rsidR="0040056E" w:rsidRPr="0040056E" w:rsidRDefault="0040056E" w:rsidP="0040056E">
            <w:pPr>
              <w:rPr>
                <w:b/>
                <w:bCs/>
              </w:rPr>
            </w:pPr>
            <w:r w:rsidRPr="0040056E">
              <w:rPr>
                <w:b/>
                <w:bCs/>
              </w:rPr>
              <w:t>5.9994</w:t>
            </w:r>
          </w:p>
        </w:tc>
        <w:tc>
          <w:tcPr>
            <w:tcW w:w="0" w:type="auto"/>
            <w:hideMark/>
          </w:tcPr>
          <w:p w:rsidR="0040056E" w:rsidRPr="0040056E" w:rsidRDefault="0040056E" w:rsidP="0040056E">
            <w:pPr>
              <w:rPr>
                <w:b/>
                <w:bCs/>
              </w:rPr>
            </w:pPr>
            <w:r w:rsidRPr="0040056E">
              <w:rPr>
                <w:b/>
                <w:bCs/>
              </w:rPr>
              <w:t>3.0009</w:t>
            </w:r>
          </w:p>
        </w:tc>
      </w:tr>
    </w:tbl>
    <w:p w:rsidR="0040056E" w:rsidRPr="0040056E" w:rsidRDefault="0040056E" w:rsidP="0040056E">
      <w:pPr>
        <w:rPr>
          <w:b/>
          <w:bCs/>
        </w:rPr>
      </w:pPr>
      <w:r w:rsidRPr="0040056E">
        <w:rPr>
          <w:b/>
          <w:bCs/>
        </w:rPr>
        <w:t>This matrix has a proper inverse, however rounding the elements of matrix A,</w:t>
      </w:r>
    </w:p>
    <w:tbl>
      <w:tblPr>
        <w:tblW w:w="750" w:type="pct"/>
        <w:jc w:val="center"/>
        <w:tblCellSpacing w:w="15" w:type="dxa"/>
        <w:tblCellMar>
          <w:top w:w="15" w:type="dxa"/>
          <w:left w:w="15" w:type="dxa"/>
          <w:bottom w:w="15" w:type="dxa"/>
          <w:right w:w="15" w:type="dxa"/>
        </w:tblCellMar>
        <w:tblLook w:val="04A0" w:firstRow="1" w:lastRow="0" w:firstColumn="1" w:lastColumn="0" w:noHBand="0" w:noVBand="1"/>
      </w:tblPr>
      <w:tblGrid>
        <w:gridCol w:w="449"/>
        <w:gridCol w:w="294"/>
        <w:gridCol w:w="298"/>
        <w:gridCol w:w="313"/>
      </w:tblGrid>
      <w:tr w:rsidR="0040056E" w:rsidRPr="0040056E" w:rsidTr="0040056E">
        <w:trPr>
          <w:tblCellSpacing w:w="15" w:type="dxa"/>
          <w:jc w:val="center"/>
        </w:trPr>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vAlign w:val="bottom"/>
            <w:hideMark/>
          </w:tcPr>
          <w:p w:rsidR="0040056E" w:rsidRPr="0040056E" w:rsidRDefault="0040056E" w:rsidP="0040056E">
            <w:pPr>
              <w:rPr>
                <w:b/>
                <w:bCs/>
              </w:rPr>
            </w:pPr>
            <w:r w:rsidRPr="0040056E">
              <w:rPr>
                <w:b/>
                <w:bCs/>
              </w:rPr>
              <w:t>2</w:t>
            </w:r>
          </w:p>
        </w:tc>
        <w:tc>
          <w:tcPr>
            <w:tcW w:w="0" w:type="auto"/>
            <w:vAlign w:val="bottom"/>
            <w:hideMark/>
          </w:tcPr>
          <w:p w:rsidR="0040056E" w:rsidRPr="0040056E" w:rsidRDefault="0040056E" w:rsidP="0040056E">
            <w:pPr>
              <w:rPr>
                <w:b/>
                <w:bCs/>
              </w:rPr>
            </w:pPr>
            <w:r w:rsidRPr="0040056E">
              <w:rPr>
                <w:b/>
                <w:bCs/>
              </w:rPr>
              <w:t>1</w:t>
            </w: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proofErr w:type="spellStart"/>
            <w:r w:rsidRPr="0040056E">
              <w:rPr>
                <w:b/>
                <w:bCs/>
              </w:rPr>
              <w:t>A</w:t>
            </w:r>
            <w:r w:rsidRPr="0040056E">
              <w:rPr>
                <w:b/>
                <w:bCs/>
                <w:vertAlign w:val="subscript"/>
              </w:rPr>
              <w:t>r</w:t>
            </w:r>
            <w:proofErr w:type="spellEnd"/>
          </w:p>
        </w:tc>
        <w:tc>
          <w:tcPr>
            <w:tcW w:w="0" w:type="auto"/>
            <w:vAlign w:val="center"/>
            <w:hideMark/>
          </w:tcPr>
          <w:p w:rsidR="0040056E" w:rsidRPr="0040056E" w:rsidRDefault="0040056E" w:rsidP="0040056E">
            <w:pPr>
              <w:rPr>
                <w:b/>
                <w:bCs/>
              </w:rPr>
            </w:pPr>
            <w:r w:rsidRPr="0040056E">
              <w:rPr>
                <w:b/>
                <w:bCs/>
              </w:rPr>
              <w:t>=</w:t>
            </w:r>
          </w:p>
        </w:tc>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r>
      <w:tr w:rsidR="0040056E" w:rsidRPr="0040056E" w:rsidTr="0040056E">
        <w:trPr>
          <w:tblCellSpacing w:w="15" w:type="dxa"/>
          <w:jc w:val="center"/>
        </w:trPr>
        <w:tc>
          <w:tcPr>
            <w:tcW w:w="0" w:type="auto"/>
            <w:vAlign w:val="center"/>
            <w:hideMark/>
          </w:tcPr>
          <w:p w:rsidR="0040056E" w:rsidRPr="0040056E" w:rsidRDefault="0040056E" w:rsidP="0040056E">
            <w:pPr>
              <w:rPr>
                <w:b/>
                <w:bCs/>
              </w:rPr>
            </w:pPr>
          </w:p>
        </w:tc>
        <w:tc>
          <w:tcPr>
            <w:tcW w:w="0" w:type="auto"/>
            <w:vAlign w:val="center"/>
            <w:hideMark/>
          </w:tcPr>
          <w:p w:rsidR="0040056E" w:rsidRPr="0040056E" w:rsidRDefault="0040056E" w:rsidP="0040056E">
            <w:pPr>
              <w:rPr>
                <w:b/>
                <w:bCs/>
              </w:rPr>
            </w:pPr>
          </w:p>
        </w:tc>
        <w:tc>
          <w:tcPr>
            <w:tcW w:w="0" w:type="auto"/>
            <w:hideMark/>
          </w:tcPr>
          <w:p w:rsidR="0040056E" w:rsidRPr="0040056E" w:rsidRDefault="0040056E" w:rsidP="0040056E">
            <w:pPr>
              <w:rPr>
                <w:b/>
                <w:bCs/>
              </w:rPr>
            </w:pPr>
            <w:r w:rsidRPr="0040056E">
              <w:rPr>
                <w:b/>
                <w:bCs/>
              </w:rPr>
              <w:t>6</w:t>
            </w:r>
          </w:p>
        </w:tc>
        <w:tc>
          <w:tcPr>
            <w:tcW w:w="0" w:type="auto"/>
            <w:hideMark/>
          </w:tcPr>
          <w:p w:rsidR="0040056E" w:rsidRPr="0040056E" w:rsidRDefault="0040056E" w:rsidP="0040056E">
            <w:pPr>
              <w:rPr>
                <w:b/>
                <w:bCs/>
              </w:rPr>
            </w:pPr>
            <w:r w:rsidRPr="0040056E">
              <w:rPr>
                <w:b/>
                <w:bCs/>
              </w:rPr>
              <w:t>3</w:t>
            </w:r>
          </w:p>
        </w:tc>
      </w:tr>
    </w:tbl>
    <w:p w:rsidR="0040056E" w:rsidRPr="0040056E" w:rsidRDefault="0040056E" w:rsidP="0040056E">
      <w:pPr>
        <w:rPr>
          <w:b/>
          <w:bCs/>
        </w:rPr>
      </w:pPr>
      <w:r w:rsidRPr="0040056E">
        <w:rPr>
          <w:b/>
          <w:bCs/>
        </w:rPr>
        <w:t>it becomes a singular matrix, i.e., it has no inverse.</w:t>
      </w:r>
    </w:p>
    <w:p w:rsidR="0040056E" w:rsidRPr="0040056E" w:rsidRDefault="0040056E" w:rsidP="0040056E">
      <w:pPr>
        <w:rPr>
          <w:b/>
          <w:bCs/>
        </w:rPr>
      </w:pPr>
      <w:r w:rsidRPr="0040056E">
        <w:rPr>
          <w:b/>
          <w:bCs/>
        </w:rPr>
        <w:t>Solving System of Equations: Consider the following system of equation:</w:t>
      </w:r>
    </w:p>
    <w:p w:rsidR="0040056E" w:rsidRPr="0040056E" w:rsidRDefault="0040056E" w:rsidP="0040056E">
      <w:pPr>
        <w:rPr>
          <w:b/>
          <w:bCs/>
        </w:rPr>
      </w:pPr>
      <w:r w:rsidRPr="0040056E">
        <w:rPr>
          <w:b/>
          <w:bCs/>
        </w:rPr>
        <w:lastRenderedPageBreak/>
        <w:t>2.04X1 + 2.49X2 = 0.45</w:t>
      </w:r>
      <w:r w:rsidRPr="0040056E">
        <w:rPr>
          <w:b/>
          <w:bCs/>
        </w:rPr>
        <w:br/>
        <w:t>2.49X1 + 3.04X2 = 0.55</w:t>
      </w:r>
    </w:p>
    <w:p w:rsidR="0040056E" w:rsidRPr="0040056E" w:rsidRDefault="0040056E" w:rsidP="0040056E">
      <w:pPr>
        <w:rPr>
          <w:b/>
          <w:bCs/>
        </w:rPr>
      </w:pPr>
      <w:r w:rsidRPr="0040056E">
        <w:rPr>
          <w:b/>
          <w:bCs/>
        </w:rPr>
        <w:t>which has a unique solution (X1 = -1, X2 = 1). However, rounding the coefficient matrix to:</w:t>
      </w:r>
    </w:p>
    <w:p w:rsidR="0040056E" w:rsidRPr="0040056E" w:rsidRDefault="0040056E" w:rsidP="0040056E">
      <w:pPr>
        <w:rPr>
          <w:b/>
          <w:bCs/>
        </w:rPr>
      </w:pPr>
      <w:r w:rsidRPr="0040056E">
        <w:rPr>
          <w:b/>
          <w:bCs/>
        </w:rPr>
        <w:t>2.0X1 + 2.5X2 = 0.45</w:t>
      </w:r>
      <w:r w:rsidRPr="0040056E">
        <w:rPr>
          <w:b/>
          <w:bCs/>
        </w:rPr>
        <w:br/>
        <w:t>2.5X1 + 3.0X2 = 0.55</w:t>
      </w:r>
    </w:p>
    <w:p w:rsidR="0040056E" w:rsidRPr="0040056E" w:rsidRDefault="0040056E" w:rsidP="0040056E">
      <w:pPr>
        <w:rPr>
          <w:b/>
          <w:bCs/>
        </w:rPr>
      </w:pPr>
      <w:r w:rsidRPr="0040056E">
        <w:rPr>
          <w:b/>
          <w:bCs/>
        </w:rPr>
        <w:t>now the solution become (X1 = 0.1, X2 = 0.1) a startling change.</w:t>
      </w:r>
    </w:p>
    <w:p w:rsidR="00720E75" w:rsidRPr="0040056E" w:rsidRDefault="00720E75" w:rsidP="0040056E">
      <w:bookmarkStart w:id="2" w:name="_GoBack"/>
      <w:bookmarkEnd w:id="2"/>
    </w:p>
    <w:sectPr w:rsidR="00720E75" w:rsidRPr="004005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E75"/>
    <w:rsid w:val="0040056E"/>
    <w:rsid w:val="00585FC5"/>
    <w:rsid w:val="00720E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610F8-430F-4141-9393-1D5FC974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0E75"/>
    <w:rPr>
      <w:color w:val="0563C1" w:themeColor="hyperlink"/>
      <w:u w:val="single"/>
    </w:rPr>
  </w:style>
  <w:style w:type="character" w:styleId="UnresolvedMention">
    <w:name w:val="Unresolved Mention"/>
    <w:basedOn w:val="DefaultParagraphFont"/>
    <w:uiPriority w:val="99"/>
    <w:semiHidden/>
    <w:unhideWhenUsed/>
    <w:rsid w:val="00720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25329">
      <w:bodyDiv w:val="1"/>
      <w:marLeft w:val="0"/>
      <w:marRight w:val="0"/>
      <w:marTop w:val="0"/>
      <w:marBottom w:val="0"/>
      <w:divBdr>
        <w:top w:val="none" w:sz="0" w:space="0" w:color="auto"/>
        <w:left w:val="none" w:sz="0" w:space="0" w:color="auto"/>
        <w:bottom w:val="none" w:sz="0" w:space="0" w:color="auto"/>
        <w:right w:val="none" w:sz="0" w:space="0" w:color="auto"/>
      </w:divBdr>
    </w:div>
    <w:div w:id="869223111">
      <w:bodyDiv w:val="1"/>
      <w:marLeft w:val="0"/>
      <w:marRight w:val="0"/>
      <w:marTop w:val="0"/>
      <w:marBottom w:val="0"/>
      <w:divBdr>
        <w:top w:val="none" w:sz="0" w:space="0" w:color="auto"/>
        <w:left w:val="none" w:sz="0" w:space="0" w:color="auto"/>
        <w:bottom w:val="none" w:sz="0" w:space="0" w:color="auto"/>
        <w:right w:val="none" w:sz="0" w:space="0" w:color="auto"/>
      </w:divBdr>
    </w:div>
    <w:div w:id="167780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ome.ubalt.edu/ntsbarsh/Business-stat/otherapplets/LPTools.htm" TargetMode="External"/><Relationship Id="rId5" Type="http://schemas.openxmlformats.org/officeDocument/2006/relationships/hyperlink" Target="http://home.ubalt.edu/ntsbarsh/Business-stat/otherapplets/SysEq.htm"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WSX01434</dc:creator>
  <cp:keywords/>
  <dc:description/>
  <cp:lastModifiedBy>WSX01434</cp:lastModifiedBy>
  <cp:revision>3</cp:revision>
  <dcterms:created xsi:type="dcterms:W3CDTF">2024-08-14T16:00:00Z</dcterms:created>
  <dcterms:modified xsi:type="dcterms:W3CDTF">2024-08-14T16:04:00Z</dcterms:modified>
</cp:coreProperties>
</file>