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3DF" w:rsidRPr="00A963DF" w:rsidRDefault="00A963DF" w:rsidP="00A963DF">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A963DF">
        <w:rPr>
          <w:rFonts w:ascii="Hacen Liner XL" w:eastAsia="Calibri" w:hAnsi="Hacen Liner XL" w:cs="Hacen Liner XL"/>
          <w:color w:val="FFFFFF"/>
          <w:sz w:val="48"/>
          <w:szCs w:val="48"/>
          <w:highlight w:val="lightGray"/>
          <w:rtl/>
          <w:lang w:bidi="ar-IQ"/>
        </w:rPr>
        <w:t>مفهوم حقوق الإنسان:-</w:t>
      </w:r>
    </w:p>
    <w:p w:rsidR="00A963DF" w:rsidRPr="00A963DF" w:rsidRDefault="00A963DF" w:rsidP="00A963DF">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A963DF">
        <w:rPr>
          <w:rFonts w:ascii="Calibri" w:eastAsia="Calibri" w:hAnsi="Calibri" w:cs="Simplified Arabic" w:hint="cs"/>
          <w:sz w:val="44"/>
          <w:szCs w:val="44"/>
          <w:rtl/>
          <w:lang w:bidi="ar-IQ"/>
        </w:rPr>
        <w:t xml:space="preserve"> يمكن أن تعرف حقوق الإنسان: </w:t>
      </w:r>
      <w:r w:rsidRPr="00A963DF">
        <w:rPr>
          <w:rFonts w:ascii="Calibri" w:eastAsia="Calibri" w:hAnsi="Calibri" w:cs="Simplified Arabic" w:hint="cs"/>
          <w:b/>
          <w:bCs/>
          <w:sz w:val="44"/>
          <w:szCs w:val="44"/>
          <w:rtl/>
          <w:lang w:bidi="ar-IQ"/>
        </w:rPr>
        <w:t>بأنها المعايير الأساسية التي لا يمكن للناس من دونها أن يعيشوا بكرامة كبشر</w:t>
      </w:r>
      <w:r w:rsidRPr="00A963DF">
        <w:rPr>
          <w:rFonts w:ascii="Calibri" w:eastAsia="Calibri" w:hAnsi="Calibri" w:cs="Simplified Arabic" w:hint="cs"/>
          <w:sz w:val="44"/>
          <w:szCs w:val="44"/>
          <w:rtl/>
          <w:lang w:bidi="ar-IQ"/>
        </w:rPr>
        <w:t>،أن حقوق الإنسان هي أساس الحرية والعدالة والمساواة وان من شأن احترام حقوق الإنسان أن يتيح أمكان تنمية الفرد والمجتمع تنمية كاملة، وتمتد جذور تنمية حقوق الإنسان في الصراع من أجل الحرية والمساواة في كل مكان في العالم ويوجد الأساس الذي تقوم عليه حقوق الإنسان مثل إحترام حياة الإنسان وكرامته في أغلب الديانات والفلسفات.</w:t>
      </w:r>
    </w:p>
    <w:p w:rsidR="00A963DF" w:rsidRPr="00A963DF" w:rsidRDefault="00A963DF" w:rsidP="00A963DF">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A963DF">
        <w:rPr>
          <w:rFonts w:ascii="Hacen Liner XL" w:eastAsia="Calibri" w:hAnsi="Hacen Liner XL" w:cs="Hacen Liner XL"/>
          <w:color w:val="FFFFFF"/>
          <w:sz w:val="48"/>
          <w:szCs w:val="48"/>
          <w:highlight w:val="lightGray"/>
          <w:rtl/>
          <w:lang w:bidi="ar-IQ"/>
        </w:rPr>
        <w:t>خصائص حقوق الإنسان:-</w:t>
      </w:r>
    </w:p>
    <w:p w:rsidR="00A963DF" w:rsidRPr="00A963DF" w:rsidRDefault="00A963DF" w:rsidP="00A963DF">
      <w:pPr>
        <w:numPr>
          <w:ilvl w:val="0"/>
          <w:numId w:val="1"/>
        </w:numPr>
        <w:tabs>
          <w:tab w:val="right" w:pos="10"/>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A963DF">
        <w:rPr>
          <w:rFonts w:ascii="Calibri" w:eastAsia="Calibri" w:hAnsi="Calibri" w:cs="Simplified Arabic" w:hint="cs"/>
          <w:b/>
          <w:bCs/>
          <w:sz w:val="44"/>
          <w:szCs w:val="44"/>
          <w:rtl/>
          <w:lang w:bidi="ar-IQ"/>
        </w:rPr>
        <w:t>حقوق الإنسان لا تشترى ولا تكتسب ولا تورث</w:t>
      </w:r>
      <w:r w:rsidRPr="00A963DF">
        <w:rPr>
          <w:rFonts w:ascii="Calibri" w:eastAsia="Calibri" w:hAnsi="Calibri" w:cs="Simplified Arabic" w:hint="cs"/>
          <w:sz w:val="44"/>
          <w:szCs w:val="44"/>
          <w:rtl/>
          <w:lang w:bidi="ar-IQ"/>
        </w:rPr>
        <w:t>. فهي ببساطة ملك للناس لأنهم بشر. فحقوق الإنسان متأصلة في كل فرد.</w:t>
      </w:r>
    </w:p>
    <w:p w:rsidR="00A963DF" w:rsidRPr="00A963DF" w:rsidRDefault="00A963DF" w:rsidP="00A963DF">
      <w:pPr>
        <w:numPr>
          <w:ilvl w:val="0"/>
          <w:numId w:val="1"/>
        </w:numPr>
        <w:tabs>
          <w:tab w:val="right" w:pos="10"/>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A963DF">
        <w:rPr>
          <w:rFonts w:ascii="Calibri" w:eastAsia="Calibri" w:hAnsi="Calibri" w:cs="Simplified Arabic" w:hint="cs"/>
          <w:b/>
          <w:bCs/>
          <w:sz w:val="44"/>
          <w:szCs w:val="44"/>
          <w:rtl/>
          <w:lang w:bidi="ar-IQ"/>
        </w:rPr>
        <w:t>حقوق الإنسان واحدة لجميع البشر بغض النظر عن العنصر أو الجنس أو الدين أو الرأي السياسي</w:t>
      </w:r>
      <w:r w:rsidRPr="00A963DF">
        <w:rPr>
          <w:rFonts w:ascii="Calibri" w:eastAsia="Calibri" w:hAnsi="Calibri" w:cs="Simplified Arabic" w:hint="cs"/>
          <w:sz w:val="44"/>
          <w:szCs w:val="44"/>
          <w:rtl/>
          <w:lang w:bidi="ar-IQ"/>
        </w:rPr>
        <w:t xml:space="preserve"> أو... الخ، ولقد ولدنا جميعاً أحرار ومتساوين في الكرامة والحقوق، فحقوق الإنسان عالمية.</w:t>
      </w:r>
    </w:p>
    <w:p w:rsidR="00A963DF" w:rsidRPr="00A963DF" w:rsidRDefault="00A963DF" w:rsidP="00A963DF">
      <w:pPr>
        <w:numPr>
          <w:ilvl w:val="0"/>
          <w:numId w:val="1"/>
        </w:numPr>
        <w:tabs>
          <w:tab w:val="right" w:pos="10"/>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A963DF">
        <w:rPr>
          <w:rFonts w:ascii="Calibri" w:eastAsia="Calibri" w:hAnsi="Calibri" w:cs="Simplified Arabic" w:hint="cs"/>
          <w:b/>
          <w:bCs/>
          <w:sz w:val="44"/>
          <w:szCs w:val="44"/>
          <w:rtl/>
          <w:lang w:bidi="ar-IQ"/>
        </w:rPr>
        <w:lastRenderedPageBreak/>
        <w:t>حقوق الإنسان لا يمكن انتزاعها</w:t>
      </w:r>
      <w:r w:rsidRPr="00A963DF">
        <w:rPr>
          <w:rFonts w:ascii="Calibri" w:eastAsia="Calibri" w:hAnsi="Calibri" w:cs="Simplified Arabic" w:hint="cs"/>
          <w:sz w:val="44"/>
          <w:szCs w:val="44"/>
          <w:rtl/>
          <w:lang w:bidi="ar-IQ"/>
        </w:rPr>
        <w:t>، فليس من حق أحد أن يحرم شخصاً آخر من حقوق الإنسان حتى لو لم تعترف بها قوانين بلده أو عندما تنتهكها تلك القوانين فحقوق الإنسان ثابتة.</w:t>
      </w:r>
    </w:p>
    <w:p w:rsidR="00A963DF" w:rsidRPr="00A963DF" w:rsidRDefault="00A963DF" w:rsidP="00A963DF">
      <w:pPr>
        <w:numPr>
          <w:ilvl w:val="0"/>
          <w:numId w:val="1"/>
        </w:numPr>
        <w:tabs>
          <w:tab w:val="right" w:pos="10"/>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A963DF">
        <w:rPr>
          <w:rFonts w:ascii="Calibri" w:eastAsia="Calibri" w:hAnsi="Calibri" w:cs="Simplified Arabic" w:hint="cs"/>
          <w:b/>
          <w:bCs/>
          <w:sz w:val="44"/>
          <w:szCs w:val="44"/>
          <w:rtl/>
          <w:lang w:bidi="ar-IQ"/>
        </w:rPr>
        <w:t>لكي يعيش جميع الناس بكرامة فأنه يحق لهم أن يتمتعوا بالحرية والأمن وبمستويات معيشية لائقة</w:t>
      </w:r>
      <w:r w:rsidRPr="00A963DF">
        <w:rPr>
          <w:rFonts w:ascii="Calibri" w:eastAsia="Calibri" w:hAnsi="Calibri" w:cs="Simplified Arabic" w:hint="cs"/>
          <w:sz w:val="44"/>
          <w:szCs w:val="44"/>
          <w:rtl/>
          <w:lang w:bidi="ar-IQ"/>
        </w:rPr>
        <w:t>. فحقوق الإنسان غير قابلة للتجزؤ.</w:t>
      </w:r>
    </w:p>
    <w:p w:rsidR="00B57E33" w:rsidRPr="00A963DF" w:rsidRDefault="00B57E33">
      <w:bookmarkStart w:id="0" w:name="_GoBack"/>
      <w:bookmarkEnd w:id="0"/>
    </w:p>
    <w:sectPr w:rsidR="00B57E33" w:rsidRPr="00A963DF"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645ED"/>
    <w:multiLevelType w:val="hybridMultilevel"/>
    <w:tmpl w:val="7228C4CC"/>
    <w:lvl w:ilvl="0" w:tplc="D0B08A2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3C"/>
    <w:rsid w:val="001B233C"/>
    <w:rsid w:val="009B19AD"/>
    <w:rsid w:val="00A963DF"/>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19997-2CFD-4048-BC64-A6DE3E36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2024-08-02T17:02:00Z</dcterms:created>
  <dcterms:modified xsi:type="dcterms:W3CDTF">2024-08-02T17:04:00Z</dcterms:modified>
</cp:coreProperties>
</file>